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5208D" w14:textId="1F212B5A" w:rsidR="006A2987" w:rsidRPr="003F10FB" w:rsidRDefault="006A2987" w:rsidP="006A2987">
      <w:pPr>
        <w:spacing w:before="11" w:line="278" w:lineRule="auto"/>
        <w:jc w:val="center"/>
        <w:rPr>
          <w:rFonts w:ascii="Arial" w:eastAsia="Times New Roman" w:hAnsi="Arial" w:cs="Arial"/>
          <w:b/>
          <w:color w:val="000000"/>
          <w:sz w:val="24"/>
          <w:szCs w:val="24"/>
        </w:rPr>
      </w:pPr>
      <w:bookmarkStart w:id="0" w:name="_Hlk105772904"/>
      <w:r w:rsidRPr="003F10FB">
        <w:rPr>
          <w:rFonts w:ascii="Arial" w:eastAsia="Times New Roman" w:hAnsi="Arial" w:cs="Arial"/>
          <w:b/>
          <w:color w:val="000000"/>
          <w:sz w:val="24"/>
          <w:szCs w:val="24"/>
        </w:rPr>
        <w:t>PROJECT NO. 5</w:t>
      </w:r>
      <w:r w:rsidR="0060760F" w:rsidRPr="003F10FB">
        <w:rPr>
          <w:rFonts w:ascii="Arial" w:eastAsia="Times New Roman" w:hAnsi="Arial" w:cs="Arial"/>
          <w:b/>
          <w:color w:val="000000"/>
          <w:sz w:val="24"/>
          <w:szCs w:val="24"/>
        </w:rPr>
        <w:t>4584</w:t>
      </w:r>
    </w:p>
    <w:p w14:paraId="080E7EF8" w14:textId="77777777" w:rsidR="006A2987" w:rsidRPr="003F10FB" w:rsidRDefault="006A2987" w:rsidP="006A2987">
      <w:pPr>
        <w:spacing w:before="11" w:line="278" w:lineRule="auto"/>
        <w:jc w:val="center"/>
        <w:rPr>
          <w:rFonts w:ascii="Arial" w:eastAsia="Times New Roman" w:hAnsi="Arial" w:cs="Arial"/>
          <w:b/>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360"/>
        <w:gridCol w:w="4495"/>
      </w:tblGrid>
      <w:tr w:rsidR="006A2987" w:rsidRPr="003F10FB" w14:paraId="23B25394" w14:textId="77777777">
        <w:tc>
          <w:tcPr>
            <w:tcW w:w="4495" w:type="dxa"/>
          </w:tcPr>
          <w:p w14:paraId="57F551AA" w14:textId="76D15B3C" w:rsidR="0060760F" w:rsidRPr="003F10FB" w:rsidRDefault="0060760F" w:rsidP="00E85E6E">
            <w:pPr>
              <w:spacing w:before="11" w:line="278" w:lineRule="auto"/>
              <w:jc w:val="left"/>
              <w:rPr>
                <w:rFonts w:ascii="Arial" w:hAnsi="Arial" w:cs="Arial"/>
                <w:b/>
                <w:sz w:val="24"/>
                <w:szCs w:val="24"/>
              </w:rPr>
            </w:pPr>
            <w:r w:rsidRPr="003F10FB">
              <w:rPr>
                <w:rFonts w:ascii="Arial" w:hAnsi="Arial" w:cs="Arial"/>
                <w:b/>
                <w:sz w:val="24"/>
                <w:szCs w:val="24"/>
              </w:rPr>
              <w:t>RELIABILITY STANDARD</w:t>
            </w:r>
            <w:r w:rsidR="00FC4EBA">
              <w:rPr>
                <w:rFonts w:ascii="Arial" w:hAnsi="Arial" w:cs="Arial"/>
                <w:b/>
                <w:sz w:val="24"/>
                <w:szCs w:val="24"/>
              </w:rPr>
              <w:t xml:space="preserve"> FOR</w:t>
            </w:r>
          </w:p>
          <w:p w14:paraId="210146E1" w14:textId="5F7CD61D" w:rsidR="006A2987" w:rsidRPr="00FC4EBA" w:rsidRDefault="0060760F" w:rsidP="00E85E6E">
            <w:pPr>
              <w:spacing w:before="11" w:line="278" w:lineRule="auto"/>
              <w:jc w:val="left"/>
              <w:rPr>
                <w:rFonts w:ascii="Arial" w:hAnsi="Arial" w:cs="Arial"/>
                <w:b/>
                <w:sz w:val="24"/>
                <w:szCs w:val="24"/>
              </w:rPr>
            </w:pPr>
            <w:r w:rsidRPr="003F10FB">
              <w:rPr>
                <w:rFonts w:ascii="Arial" w:hAnsi="Arial" w:cs="Arial"/>
                <w:b/>
                <w:sz w:val="24"/>
                <w:szCs w:val="24"/>
              </w:rPr>
              <w:t>THE</w:t>
            </w:r>
            <w:r w:rsidR="00FC4EBA">
              <w:rPr>
                <w:rFonts w:ascii="Arial" w:hAnsi="Arial" w:cs="Arial"/>
                <w:b/>
                <w:sz w:val="24"/>
                <w:szCs w:val="24"/>
              </w:rPr>
              <w:t xml:space="preserve"> </w:t>
            </w:r>
            <w:r w:rsidRPr="003F10FB">
              <w:rPr>
                <w:rFonts w:ascii="Arial" w:hAnsi="Arial" w:cs="Arial"/>
                <w:b/>
                <w:sz w:val="24"/>
                <w:szCs w:val="24"/>
              </w:rPr>
              <w:t>ERCOT MARKET</w:t>
            </w:r>
          </w:p>
        </w:tc>
        <w:tc>
          <w:tcPr>
            <w:tcW w:w="360" w:type="dxa"/>
          </w:tcPr>
          <w:p w14:paraId="4908DB63" w14:textId="77777777" w:rsidR="006A2987" w:rsidRPr="003F10FB" w:rsidRDefault="006A2987">
            <w:pPr>
              <w:pBdr>
                <w:top w:val="nil"/>
                <w:left w:val="nil"/>
                <w:bottom w:val="nil"/>
                <w:right w:val="nil"/>
                <w:between w:val="nil"/>
                <w:bar w:val="nil"/>
              </w:pBdr>
              <w:jc w:val="center"/>
              <w:rPr>
                <w:rFonts w:ascii="Arial" w:eastAsia="Avenir Heavy" w:hAnsi="Arial" w:cs="Arial"/>
                <w:b/>
                <w:color w:val="000000"/>
                <w:sz w:val="24"/>
                <w:szCs w:val="24"/>
                <w:u w:color="000000"/>
                <w:bdr w:val="nil"/>
                <w14:textOutline w14:w="0" w14:cap="flat" w14:cmpd="sng" w14:algn="ctr">
                  <w14:noFill/>
                  <w14:prstDash w14:val="solid"/>
                  <w14:bevel/>
                </w14:textOutline>
              </w:rPr>
            </w:pPr>
            <w:r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w:t>
            </w:r>
          </w:p>
          <w:p w14:paraId="73D540E6" w14:textId="77777777" w:rsidR="006A2987" w:rsidRPr="003F10FB" w:rsidRDefault="006A2987">
            <w:pPr>
              <w:pBdr>
                <w:top w:val="nil"/>
                <w:left w:val="nil"/>
                <w:bottom w:val="nil"/>
                <w:right w:val="nil"/>
                <w:between w:val="nil"/>
                <w:bar w:val="nil"/>
              </w:pBdr>
              <w:jc w:val="center"/>
              <w:rPr>
                <w:rFonts w:ascii="Arial" w:eastAsia="Arial Unicode MS" w:hAnsi="Arial" w:cs="Arial"/>
                <w:b/>
                <w:color w:val="000000"/>
                <w:sz w:val="24"/>
                <w:szCs w:val="24"/>
                <w:u w:color="000000"/>
                <w:bdr w:val="nil"/>
                <w14:textOutline w14:w="0" w14:cap="flat" w14:cmpd="sng" w14:algn="ctr">
                  <w14:noFill/>
                  <w14:prstDash w14:val="solid"/>
                  <w14:bevel/>
                </w14:textOutline>
              </w:rPr>
            </w:pPr>
            <w:r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w:t>
            </w:r>
          </w:p>
          <w:p w14:paraId="5727B2E3" w14:textId="0B7279AA" w:rsidR="006A2987" w:rsidRPr="003F10FB" w:rsidRDefault="006A2987">
            <w:pPr>
              <w:spacing w:before="11" w:line="278" w:lineRule="auto"/>
              <w:jc w:val="center"/>
              <w:rPr>
                <w:rFonts w:ascii="Arial" w:eastAsia="Times New Roman" w:hAnsi="Arial" w:cs="Arial"/>
                <w:b/>
                <w:color w:val="000000"/>
                <w:sz w:val="24"/>
                <w:szCs w:val="24"/>
              </w:rPr>
            </w:pPr>
          </w:p>
        </w:tc>
        <w:tc>
          <w:tcPr>
            <w:tcW w:w="4495" w:type="dxa"/>
          </w:tcPr>
          <w:p w14:paraId="7A90EB0A" w14:textId="6501A70D" w:rsidR="006A2987" w:rsidRPr="00FC4EBA" w:rsidRDefault="006A2987" w:rsidP="00FC4EBA">
            <w:pPr>
              <w:pBdr>
                <w:top w:val="nil"/>
                <w:left w:val="nil"/>
                <w:bottom w:val="nil"/>
                <w:right w:val="nil"/>
                <w:between w:val="nil"/>
                <w:bar w:val="nil"/>
              </w:pBdr>
              <w:jc w:val="right"/>
              <w:rPr>
                <w:rFonts w:ascii="Arial" w:eastAsia="Arial Unicode MS" w:hAnsi="Arial" w:cs="Arial"/>
                <w:b/>
                <w:color w:val="000000"/>
                <w:sz w:val="24"/>
                <w:szCs w:val="24"/>
                <w:u w:color="000000"/>
                <w:bdr w:val="nil"/>
                <w14:textOutline w14:w="0" w14:cap="flat" w14:cmpd="sng" w14:algn="ctr">
                  <w14:noFill/>
                  <w14:prstDash w14:val="solid"/>
                  <w14:bevel/>
                </w14:textOutline>
              </w:rPr>
            </w:pPr>
            <w:r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PUBLIC UTILITY COMMISSION</w:t>
            </w:r>
          </w:p>
          <w:p w14:paraId="2495D8FE" w14:textId="0B2409C3" w:rsidR="006A2987" w:rsidRPr="003F10FB" w:rsidRDefault="008D490C" w:rsidP="00FC4EBA">
            <w:pPr>
              <w:spacing w:before="11" w:line="278" w:lineRule="auto"/>
              <w:jc w:val="center"/>
              <w:rPr>
                <w:rFonts w:ascii="Arial" w:eastAsia="Times New Roman" w:hAnsi="Arial" w:cs="Arial"/>
                <w:b/>
                <w:color w:val="000000"/>
                <w:sz w:val="24"/>
                <w:szCs w:val="24"/>
              </w:rPr>
            </w:pPr>
            <w:r>
              <w:rPr>
                <w:rFonts w:ascii="Arial" w:eastAsia="Arial Unicode MS" w:hAnsi="Arial" w:cs="Arial"/>
                <w:b/>
                <w:color w:val="000000"/>
                <w:sz w:val="24"/>
                <w:szCs w:val="24"/>
                <w:u w:color="000000"/>
                <w:bdr w:val="nil"/>
                <w14:textOutline w14:w="0" w14:cap="flat" w14:cmpd="sng" w14:algn="ctr">
                  <w14:noFill/>
                  <w14:prstDash w14:val="solid"/>
                  <w14:bevel/>
                </w14:textOutline>
              </w:rPr>
              <w:t xml:space="preserve">      </w:t>
            </w:r>
            <w:r w:rsidR="006A2987"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OF TEXAS</w:t>
            </w:r>
          </w:p>
        </w:tc>
      </w:tr>
    </w:tbl>
    <w:p w14:paraId="3253C50D" w14:textId="77777777" w:rsidR="006A2987" w:rsidRPr="003F10FB" w:rsidRDefault="006A2987" w:rsidP="0083115C">
      <w:pPr>
        <w:tabs>
          <w:tab w:val="left" w:pos="7920"/>
        </w:tabs>
        <w:spacing w:line="259" w:lineRule="auto"/>
        <w:jc w:val="center"/>
        <w:rPr>
          <w:rFonts w:ascii="Arial" w:eastAsia="Calibri" w:hAnsi="Arial" w:cs="Arial"/>
          <w:b/>
          <w:sz w:val="24"/>
          <w:szCs w:val="24"/>
        </w:rPr>
      </w:pPr>
    </w:p>
    <w:bookmarkEnd w:id="0"/>
    <w:p w14:paraId="736460FC" w14:textId="2D1FEFCA" w:rsidR="00C67BC3" w:rsidRPr="003F10FB" w:rsidRDefault="00C67BC3" w:rsidP="00C67BC3">
      <w:pPr>
        <w:pBdr>
          <w:top w:val="nil"/>
          <w:left w:val="nil"/>
          <w:bottom w:val="nil"/>
          <w:right w:val="nil"/>
          <w:between w:val="nil"/>
        </w:pBdr>
        <w:jc w:val="center"/>
        <w:rPr>
          <w:rFonts w:ascii="Arial" w:eastAsia="Arial" w:hAnsi="Arial" w:cs="Arial"/>
          <w:b/>
          <w:bCs/>
          <w:color w:val="000000"/>
          <w:sz w:val="24"/>
          <w:szCs w:val="24"/>
        </w:rPr>
      </w:pPr>
      <w:r w:rsidRPr="003F10FB">
        <w:rPr>
          <w:rFonts w:ascii="Arial" w:eastAsia="Arial" w:hAnsi="Arial" w:cs="Arial"/>
          <w:b/>
          <w:bCs/>
          <w:color w:val="000000"/>
          <w:sz w:val="24"/>
          <w:szCs w:val="24"/>
        </w:rPr>
        <w:t xml:space="preserve">JOINT </w:t>
      </w:r>
      <w:r w:rsidR="00565A88">
        <w:rPr>
          <w:rFonts w:ascii="Arial" w:eastAsia="Arial" w:hAnsi="Arial" w:cs="Arial"/>
          <w:b/>
          <w:bCs/>
          <w:color w:val="000000"/>
          <w:sz w:val="24"/>
          <w:szCs w:val="24"/>
        </w:rPr>
        <w:t xml:space="preserve">REPLY </w:t>
      </w:r>
      <w:r w:rsidRPr="003F10FB">
        <w:rPr>
          <w:rFonts w:ascii="Arial" w:eastAsia="Arial" w:hAnsi="Arial" w:cs="Arial"/>
          <w:b/>
          <w:bCs/>
          <w:color w:val="000000"/>
          <w:sz w:val="24"/>
          <w:szCs w:val="24"/>
        </w:rPr>
        <w:t xml:space="preserve">COMMENTS OF TEXAS SOLAR POWER ASSOCIATION AND SOLAR ENERGY INDUSTRIES ASSOCIATION ON STAFF </w:t>
      </w:r>
      <w:r w:rsidR="00682A83">
        <w:rPr>
          <w:rFonts w:ascii="Arial" w:eastAsia="Arial" w:hAnsi="Arial" w:cs="Arial"/>
          <w:b/>
          <w:bCs/>
          <w:color w:val="000000"/>
          <w:sz w:val="24"/>
          <w:szCs w:val="24"/>
        </w:rPr>
        <w:t>QUESTIONS</w:t>
      </w:r>
    </w:p>
    <w:p w14:paraId="6CE994B0" w14:textId="77777777" w:rsidR="00C67BC3" w:rsidRPr="003F10FB" w:rsidRDefault="00C67BC3" w:rsidP="00C67BC3">
      <w:pPr>
        <w:pBdr>
          <w:top w:val="nil"/>
          <w:left w:val="nil"/>
          <w:bottom w:val="nil"/>
          <w:right w:val="nil"/>
          <w:between w:val="nil"/>
        </w:pBdr>
        <w:jc w:val="center"/>
        <w:rPr>
          <w:rFonts w:ascii="Arial" w:hAnsi="Arial" w:cs="Arial"/>
          <w:b/>
          <w:sz w:val="24"/>
          <w:szCs w:val="24"/>
        </w:rPr>
      </w:pPr>
    </w:p>
    <w:p w14:paraId="57FA0891" w14:textId="4DE0E2D0" w:rsidR="00C67BC3" w:rsidRPr="003F10FB" w:rsidRDefault="00C67BC3" w:rsidP="00C67BC3">
      <w:pPr>
        <w:pBdr>
          <w:top w:val="nil"/>
          <w:left w:val="nil"/>
          <w:bottom w:val="nil"/>
          <w:right w:val="nil"/>
          <w:between w:val="nil"/>
        </w:pBdr>
        <w:spacing w:line="480" w:lineRule="auto"/>
        <w:ind w:firstLine="720"/>
        <w:rPr>
          <w:rFonts w:ascii="Arial" w:hAnsi="Arial" w:cs="Arial"/>
          <w:sz w:val="24"/>
          <w:szCs w:val="24"/>
        </w:rPr>
      </w:pPr>
      <w:r w:rsidRPr="003F10FB">
        <w:rPr>
          <w:rFonts w:ascii="Arial" w:eastAsia="Arial" w:hAnsi="Arial" w:cs="Arial"/>
          <w:color w:val="000000"/>
          <w:sz w:val="24"/>
          <w:szCs w:val="24"/>
        </w:rPr>
        <w:t xml:space="preserve">COMES NOW the Texas Solar Power Association (TSPA) and the Solar Energy Industries Association (SEIA) (collectively, Solar Associations) and file these </w:t>
      </w:r>
      <w:r w:rsidR="007E505D">
        <w:rPr>
          <w:rFonts w:ascii="Arial" w:eastAsia="Arial" w:hAnsi="Arial" w:cs="Arial"/>
          <w:color w:val="000000"/>
          <w:sz w:val="24"/>
          <w:szCs w:val="24"/>
        </w:rPr>
        <w:t>R</w:t>
      </w:r>
      <w:r w:rsidR="00565A88">
        <w:rPr>
          <w:rFonts w:ascii="Arial" w:eastAsia="Arial" w:hAnsi="Arial" w:cs="Arial"/>
          <w:color w:val="000000"/>
          <w:sz w:val="24"/>
          <w:szCs w:val="24"/>
        </w:rPr>
        <w:t>eply</w:t>
      </w:r>
      <w:r w:rsidRPr="003F10FB">
        <w:rPr>
          <w:rFonts w:ascii="Arial" w:eastAsia="Arial" w:hAnsi="Arial" w:cs="Arial"/>
          <w:color w:val="000000"/>
          <w:sz w:val="24"/>
          <w:szCs w:val="24"/>
        </w:rPr>
        <w:t xml:space="preserve"> </w:t>
      </w:r>
      <w:r w:rsidR="007E505D">
        <w:rPr>
          <w:rFonts w:ascii="Arial" w:eastAsia="Arial" w:hAnsi="Arial" w:cs="Arial"/>
          <w:color w:val="000000"/>
          <w:sz w:val="24"/>
          <w:szCs w:val="24"/>
        </w:rPr>
        <w:t>C</w:t>
      </w:r>
      <w:r w:rsidRPr="003F10FB">
        <w:rPr>
          <w:rFonts w:ascii="Arial" w:eastAsia="Arial" w:hAnsi="Arial" w:cs="Arial"/>
          <w:color w:val="000000"/>
          <w:sz w:val="24"/>
          <w:szCs w:val="24"/>
        </w:rPr>
        <w:t xml:space="preserve">omments </w:t>
      </w:r>
      <w:r w:rsidRPr="003F10FB">
        <w:rPr>
          <w:rFonts w:ascii="Arial" w:eastAsia="Times New Roman" w:hAnsi="Arial" w:cs="Arial"/>
          <w:sz w:val="24"/>
          <w:szCs w:val="24"/>
        </w:rPr>
        <w:t xml:space="preserve">in response to </w:t>
      </w:r>
      <w:r w:rsidR="00950085">
        <w:rPr>
          <w:rFonts w:ascii="Arial" w:eastAsia="Times New Roman" w:hAnsi="Arial" w:cs="Arial"/>
          <w:sz w:val="24"/>
          <w:szCs w:val="24"/>
        </w:rPr>
        <w:t xml:space="preserve">comments filed </w:t>
      </w:r>
      <w:r w:rsidRPr="003F10FB">
        <w:rPr>
          <w:rFonts w:ascii="Arial" w:eastAsia="Times New Roman" w:hAnsi="Arial" w:cs="Arial"/>
          <w:sz w:val="24"/>
          <w:szCs w:val="24"/>
        </w:rPr>
        <w:t>in the above-referenced Project</w:t>
      </w:r>
      <w:r w:rsidRPr="003F10FB">
        <w:rPr>
          <w:rFonts w:ascii="Arial" w:eastAsia="Calibri" w:hAnsi="Arial" w:cs="Arial"/>
          <w:sz w:val="24"/>
          <w:szCs w:val="24"/>
        </w:rPr>
        <w:t>.</w:t>
      </w:r>
      <w:r w:rsidR="00C01AD2">
        <w:rPr>
          <w:rFonts w:ascii="Arial" w:eastAsia="Calibri" w:hAnsi="Arial" w:cs="Arial"/>
          <w:sz w:val="24"/>
          <w:szCs w:val="24"/>
        </w:rPr>
        <w:t xml:space="preserve">  </w:t>
      </w:r>
      <w:r w:rsidRPr="003F10FB">
        <w:rPr>
          <w:rFonts w:ascii="Arial" w:eastAsia="Arial" w:hAnsi="Arial" w:cs="Arial"/>
          <w:color w:val="000000"/>
          <w:sz w:val="24"/>
          <w:szCs w:val="24"/>
        </w:rPr>
        <w:t xml:space="preserve">TSPA and SEIA are not affiliates but have combined our comments for this filing to assist the Commission. </w:t>
      </w:r>
    </w:p>
    <w:p w14:paraId="248B2F94" w14:textId="20123094" w:rsidR="00C67BC3" w:rsidRPr="00F92766" w:rsidRDefault="00351B2F" w:rsidP="00F92766">
      <w:pPr>
        <w:pStyle w:val="ListParagraph"/>
        <w:numPr>
          <w:ilvl w:val="0"/>
          <w:numId w:val="9"/>
        </w:numPr>
        <w:pBdr>
          <w:top w:val="nil"/>
          <w:left w:val="nil"/>
          <w:bottom w:val="nil"/>
          <w:right w:val="nil"/>
          <w:between w:val="nil"/>
        </w:pBdr>
        <w:spacing w:line="480" w:lineRule="auto"/>
        <w:ind w:left="0" w:firstLine="0"/>
        <w:jc w:val="center"/>
        <w:rPr>
          <w:b/>
        </w:rPr>
      </w:pPr>
      <w:r w:rsidRPr="00351B2F">
        <w:rPr>
          <w:rFonts w:ascii="Arial" w:eastAsia="Arial" w:hAnsi="Arial" w:cs="Arial"/>
          <w:b/>
          <w:color w:val="000000"/>
          <w:sz w:val="24"/>
          <w:szCs w:val="24"/>
        </w:rPr>
        <w:t>REPLY COMMENTS</w:t>
      </w:r>
    </w:p>
    <w:p w14:paraId="1FEE77D2" w14:textId="171247E4" w:rsidR="00105569" w:rsidRDefault="00C67BC3" w:rsidP="00565A88">
      <w:pPr>
        <w:pBdr>
          <w:top w:val="nil"/>
          <w:left w:val="nil"/>
          <w:bottom w:val="nil"/>
          <w:right w:val="nil"/>
          <w:between w:val="nil"/>
        </w:pBdr>
        <w:spacing w:line="480" w:lineRule="auto"/>
        <w:rPr>
          <w:rFonts w:ascii="Arial" w:hAnsi="Arial" w:cs="Arial"/>
          <w:sz w:val="24"/>
          <w:szCs w:val="24"/>
        </w:rPr>
      </w:pPr>
      <w:r w:rsidRPr="003F10FB">
        <w:rPr>
          <w:rFonts w:ascii="Arial" w:eastAsia="Arial" w:hAnsi="Arial" w:cs="Arial"/>
          <w:color w:val="000000"/>
          <w:sz w:val="24"/>
          <w:szCs w:val="24"/>
        </w:rPr>
        <w:tab/>
      </w:r>
      <w:r w:rsidR="00721894" w:rsidRPr="003F10FB">
        <w:rPr>
          <w:rFonts w:ascii="Arial" w:hAnsi="Arial" w:cs="Arial"/>
        </w:rPr>
        <w:t xml:space="preserve"> </w:t>
      </w:r>
      <w:r w:rsidR="00EF5B21" w:rsidRPr="00767C38">
        <w:rPr>
          <w:rFonts w:ascii="Arial" w:hAnsi="Arial" w:cs="Arial"/>
          <w:sz w:val="24"/>
          <w:szCs w:val="24"/>
        </w:rPr>
        <w:t>Solar Associations</w:t>
      </w:r>
      <w:r w:rsidR="004A3F5C" w:rsidRPr="00767C38">
        <w:rPr>
          <w:rFonts w:ascii="Arial" w:hAnsi="Arial" w:cs="Arial"/>
          <w:sz w:val="24"/>
          <w:szCs w:val="24"/>
        </w:rPr>
        <w:t xml:space="preserve"> </w:t>
      </w:r>
      <w:r w:rsidR="00974EA9" w:rsidRPr="00767C38">
        <w:rPr>
          <w:rFonts w:ascii="Arial" w:hAnsi="Arial" w:cs="Arial"/>
          <w:sz w:val="24"/>
          <w:szCs w:val="24"/>
        </w:rPr>
        <w:t xml:space="preserve">reply to the comments </w:t>
      </w:r>
      <w:r w:rsidR="004A3F5C" w:rsidRPr="00767C38">
        <w:rPr>
          <w:rFonts w:ascii="Arial" w:hAnsi="Arial" w:cs="Arial"/>
          <w:sz w:val="24"/>
          <w:szCs w:val="24"/>
        </w:rPr>
        <w:t xml:space="preserve">of </w:t>
      </w:r>
      <w:r w:rsidR="00565A88" w:rsidRPr="00767C38">
        <w:rPr>
          <w:rFonts w:ascii="Arial" w:hAnsi="Arial" w:cs="Arial"/>
          <w:sz w:val="24"/>
          <w:szCs w:val="24"/>
        </w:rPr>
        <w:t xml:space="preserve">the South Texas Electric Cooperative </w:t>
      </w:r>
      <w:r w:rsidR="007E505D">
        <w:rPr>
          <w:rFonts w:ascii="Arial" w:hAnsi="Arial" w:cs="Arial"/>
          <w:sz w:val="24"/>
          <w:szCs w:val="24"/>
        </w:rPr>
        <w:t>(STEC)</w:t>
      </w:r>
      <w:r w:rsidR="00E502FE">
        <w:rPr>
          <w:rFonts w:ascii="Arial" w:hAnsi="Arial" w:cs="Arial"/>
          <w:sz w:val="24"/>
          <w:szCs w:val="24"/>
        </w:rPr>
        <w:t xml:space="preserve">, </w:t>
      </w:r>
      <w:r w:rsidR="00E502FE" w:rsidRPr="00E502FE">
        <w:rPr>
          <w:rFonts w:ascii="Arial" w:hAnsi="Arial" w:cs="Arial"/>
          <w:sz w:val="24"/>
          <w:szCs w:val="24"/>
        </w:rPr>
        <w:t>Hunt Energy Network (HEN), Texas Oil &amp; Gas Association, Lower Colorado River Authority, NRG Energy, Form Energy, Texas Industrial Energy Consumers, Texas Advanced Energy Business Alliance, and Constellation Energy</w:t>
      </w:r>
      <w:r w:rsidR="007E505D">
        <w:rPr>
          <w:rFonts w:ascii="Arial" w:hAnsi="Arial" w:cs="Arial"/>
          <w:sz w:val="24"/>
          <w:szCs w:val="24"/>
        </w:rPr>
        <w:t xml:space="preserve">.  </w:t>
      </w:r>
      <w:r w:rsidR="00351B2F" w:rsidRPr="00767C38">
        <w:rPr>
          <w:rFonts w:ascii="Arial" w:hAnsi="Arial" w:cs="Arial"/>
          <w:sz w:val="24"/>
          <w:szCs w:val="24"/>
        </w:rPr>
        <w:t>Solar Associations disagree with STEC’s comments that the Commission should retain the 1-in-10 year Loss of Load E</w:t>
      </w:r>
      <w:r w:rsidR="00A80E3C">
        <w:rPr>
          <w:rFonts w:ascii="Arial" w:hAnsi="Arial" w:cs="Arial"/>
          <w:sz w:val="24"/>
          <w:szCs w:val="24"/>
        </w:rPr>
        <w:t>xpectation</w:t>
      </w:r>
      <w:r w:rsidR="00351B2F" w:rsidRPr="00767C38">
        <w:rPr>
          <w:rFonts w:ascii="Arial" w:hAnsi="Arial" w:cs="Arial"/>
          <w:sz w:val="24"/>
          <w:szCs w:val="24"/>
        </w:rPr>
        <w:t xml:space="preserve"> (LOLE) Standard.</w:t>
      </w:r>
      <w:r w:rsidR="00351B2F" w:rsidRPr="00767C38">
        <w:rPr>
          <w:rStyle w:val="FootnoteReference"/>
          <w:rFonts w:ascii="Arial" w:hAnsi="Arial" w:cs="Arial"/>
          <w:sz w:val="24"/>
          <w:szCs w:val="24"/>
        </w:rPr>
        <w:footnoteReference w:id="2"/>
      </w:r>
      <w:r w:rsidR="00351B2F" w:rsidRPr="00767C38">
        <w:rPr>
          <w:rFonts w:ascii="Arial" w:hAnsi="Arial" w:cs="Arial"/>
          <w:sz w:val="24"/>
          <w:szCs w:val="24"/>
        </w:rPr>
        <w:t xml:space="preserve">  </w:t>
      </w:r>
      <w:r w:rsidR="005F3384" w:rsidRPr="00767C38">
        <w:rPr>
          <w:rFonts w:ascii="Arial" w:hAnsi="Arial" w:cs="Arial"/>
          <w:sz w:val="24"/>
          <w:szCs w:val="24"/>
        </w:rPr>
        <w:t>STEC</w:t>
      </w:r>
      <w:r w:rsidR="00A16EC8" w:rsidRPr="00767C38">
        <w:rPr>
          <w:rFonts w:ascii="Arial" w:hAnsi="Arial" w:cs="Arial"/>
          <w:sz w:val="24"/>
          <w:szCs w:val="24"/>
        </w:rPr>
        <w:t>’</w:t>
      </w:r>
      <w:r w:rsidR="005F3384" w:rsidRPr="00767C38">
        <w:rPr>
          <w:rFonts w:ascii="Arial" w:hAnsi="Arial" w:cs="Arial"/>
          <w:sz w:val="24"/>
          <w:szCs w:val="24"/>
        </w:rPr>
        <w:t>s comments are in contrast with the vast majority of comment</w:t>
      </w:r>
      <w:r w:rsidR="00642F6C">
        <w:rPr>
          <w:rFonts w:ascii="Arial" w:hAnsi="Arial" w:cs="Arial"/>
          <w:sz w:val="24"/>
          <w:szCs w:val="24"/>
        </w:rPr>
        <w:t>e</w:t>
      </w:r>
      <w:r w:rsidR="005F3384" w:rsidRPr="00767C38">
        <w:rPr>
          <w:rFonts w:ascii="Arial" w:hAnsi="Arial" w:cs="Arial"/>
          <w:sz w:val="24"/>
          <w:szCs w:val="24"/>
        </w:rPr>
        <w:t>rs</w:t>
      </w:r>
      <w:r w:rsidR="007E505D">
        <w:rPr>
          <w:rFonts w:ascii="Arial" w:hAnsi="Arial" w:cs="Arial"/>
          <w:sz w:val="24"/>
          <w:szCs w:val="24"/>
        </w:rPr>
        <w:t xml:space="preserve"> </w:t>
      </w:r>
      <w:r w:rsidR="005F3384" w:rsidRPr="00767C38">
        <w:rPr>
          <w:rFonts w:ascii="Arial" w:hAnsi="Arial" w:cs="Arial"/>
          <w:sz w:val="24"/>
          <w:szCs w:val="24"/>
        </w:rPr>
        <w:t xml:space="preserve">that support the use of metrics </w:t>
      </w:r>
      <w:r w:rsidR="00C31F08" w:rsidRPr="00767C38">
        <w:rPr>
          <w:rFonts w:ascii="Arial" w:hAnsi="Arial" w:cs="Arial"/>
          <w:sz w:val="24"/>
          <w:szCs w:val="24"/>
        </w:rPr>
        <w:t>that capture frequency, magnitude</w:t>
      </w:r>
      <w:r w:rsidR="00767C38">
        <w:rPr>
          <w:rFonts w:ascii="Arial" w:hAnsi="Arial" w:cs="Arial"/>
          <w:sz w:val="24"/>
          <w:szCs w:val="24"/>
        </w:rPr>
        <w:t>,</w:t>
      </w:r>
      <w:r w:rsidR="00C31F08" w:rsidRPr="00767C38">
        <w:rPr>
          <w:rFonts w:ascii="Arial" w:hAnsi="Arial" w:cs="Arial"/>
          <w:sz w:val="24"/>
          <w:szCs w:val="24"/>
        </w:rPr>
        <w:t xml:space="preserve"> and duration</w:t>
      </w:r>
      <w:r w:rsidR="001C01D9" w:rsidRPr="00767C38">
        <w:rPr>
          <w:rFonts w:ascii="Arial" w:hAnsi="Arial" w:cs="Arial"/>
          <w:sz w:val="24"/>
          <w:szCs w:val="24"/>
        </w:rPr>
        <w:t>,</w:t>
      </w:r>
      <w:r w:rsidR="00406D21" w:rsidRPr="00767C38">
        <w:rPr>
          <w:rFonts w:ascii="Arial" w:hAnsi="Arial" w:cs="Arial"/>
          <w:sz w:val="24"/>
          <w:szCs w:val="24"/>
        </w:rPr>
        <w:t xml:space="preserve"> with some commenters expressing a particular preference for one or more specific </w:t>
      </w:r>
      <w:r w:rsidR="00217181">
        <w:rPr>
          <w:rFonts w:ascii="Arial" w:hAnsi="Arial" w:cs="Arial"/>
          <w:sz w:val="24"/>
          <w:szCs w:val="24"/>
        </w:rPr>
        <w:t>standards</w:t>
      </w:r>
      <w:r w:rsidR="00406D21" w:rsidRPr="00767C38">
        <w:rPr>
          <w:rFonts w:ascii="Arial" w:hAnsi="Arial" w:cs="Arial"/>
          <w:sz w:val="24"/>
          <w:szCs w:val="24"/>
        </w:rPr>
        <w:t xml:space="preserve"> </w:t>
      </w:r>
      <w:r w:rsidR="00A6592F" w:rsidRPr="00767C38">
        <w:rPr>
          <w:rFonts w:ascii="Arial" w:hAnsi="Arial" w:cs="Arial"/>
          <w:sz w:val="24"/>
          <w:szCs w:val="24"/>
        </w:rPr>
        <w:t xml:space="preserve">(in addition to or as a replacement for LOLE) </w:t>
      </w:r>
      <w:r w:rsidR="00406D21" w:rsidRPr="00767C38">
        <w:rPr>
          <w:rFonts w:ascii="Arial" w:hAnsi="Arial" w:cs="Arial"/>
          <w:sz w:val="24"/>
          <w:szCs w:val="24"/>
        </w:rPr>
        <w:t xml:space="preserve">such as </w:t>
      </w:r>
      <w:r w:rsidR="00A6592F" w:rsidRPr="00767C38">
        <w:rPr>
          <w:rFonts w:ascii="Arial" w:hAnsi="Arial" w:cs="Arial"/>
          <w:sz w:val="24"/>
          <w:szCs w:val="24"/>
        </w:rPr>
        <w:t>Loss of Load Hours (</w:t>
      </w:r>
      <w:r w:rsidR="00406D21" w:rsidRPr="00767C38">
        <w:rPr>
          <w:rFonts w:ascii="Arial" w:hAnsi="Arial" w:cs="Arial"/>
          <w:sz w:val="24"/>
          <w:szCs w:val="24"/>
        </w:rPr>
        <w:t>LOLH</w:t>
      </w:r>
      <w:r w:rsidR="00A6592F" w:rsidRPr="00767C38">
        <w:rPr>
          <w:rFonts w:ascii="Arial" w:hAnsi="Arial" w:cs="Arial"/>
          <w:sz w:val="24"/>
          <w:szCs w:val="24"/>
        </w:rPr>
        <w:t>), Expected Unserved Energy (</w:t>
      </w:r>
      <w:r w:rsidR="00406D21" w:rsidRPr="00767C38">
        <w:rPr>
          <w:rFonts w:ascii="Arial" w:hAnsi="Arial" w:cs="Arial"/>
          <w:sz w:val="24"/>
          <w:szCs w:val="24"/>
        </w:rPr>
        <w:t>EUE</w:t>
      </w:r>
      <w:r w:rsidR="00A6592F" w:rsidRPr="00767C38">
        <w:rPr>
          <w:rFonts w:ascii="Arial" w:hAnsi="Arial" w:cs="Arial"/>
          <w:sz w:val="24"/>
          <w:szCs w:val="24"/>
        </w:rPr>
        <w:t xml:space="preserve">) Normalized Expected </w:t>
      </w:r>
      <w:r w:rsidR="00A6592F" w:rsidRPr="00767C38">
        <w:rPr>
          <w:rFonts w:ascii="Arial" w:hAnsi="Arial" w:cs="Arial"/>
          <w:sz w:val="24"/>
          <w:szCs w:val="24"/>
        </w:rPr>
        <w:lastRenderedPageBreak/>
        <w:t>Unserved Energy (</w:t>
      </w:r>
      <w:r w:rsidR="00406D21" w:rsidRPr="00767C38">
        <w:rPr>
          <w:rFonts w:ascii="Arial" w:hAnsi="Arial" w:cs="Arial"/>
          <w:sz w:val="24"/>
          <w:szCs w:val="24"/>
        </w:rPr>
        <w:t>NEUE</w:t>
      </w:r>
      <w:r w:rsidR="00A6592F" w:rsidRPr="00767C38">
        <w:rPr>
          <w:rFonts w:ascii="Arial" w:hAnsi="Arial" w:cs="Arial"/>
          <w:sz w:val="24"/>
          <w:szCs w:val="24"/>
        </w:rPr>
        <w:t>), Value of Loss of Load (</w:t>
      </w:r>
      <w:r w:rsidR="00406D21" w:rsidRPr="00767C38">
        <w:rPr>
          <w:rFonts w:ascii="Arial" w:hAnsi="Arial" w:cs="Arial"/>
          <w:sz w:val="24"/>
          <w:szCs w:val="24"/>
        </w:rPr>
        <w:t>VOLL</w:t>
      </w:r>
      <w:r w:rsidR="00A6592F" w:rsidRPr="00767C38">
        <w:rPr>
          <w:rFonts w:ascii="Arial" w:hAnsi="Arial" w:cs="Arial"/>
          <w:sz w:val="24"/>
          <w:szCs w:val="24"/>
        </w:rPr>
        <w:t>)</w:t>
      </w:r>
      <w:r w:rsidR="00406D21" w:rsidRPr="00767C38">
        <w:rPr>
          <w:rFonts w:ascii="Arial" w:hAnsi="Arial" w:cs="Arial"/>
          <w:sz w:val="24"/>
          <w:szCs w:val="24"/>
        </w:rPr>
        <w:t xml:space="preserve"> and </w:t>
      </w:r>
      <w:r w:rsidR="00A6592F" w:rsidRPr="00767C38">
        <w:rPr>
          <w:rFonts w:ascii="Arial" w:hAnsi="Arial" w:cs="Arial"/>
          <w:sz w:val="24"/>
          <w:szCs w:val="24"/>
        </w:rPr>
        <w:t>Conditional Value at Risk (</w:t>
      </w:r>
      <w:proofErr w:type="spellStart"/>
      <w:r w:rsidR="00406D21" w:rsidRPr="00767C38">
        <w:rPr>
          <w:rFonts w:ascii="Arial" w:hAnsi="Arial" w:cs="Arial"/>
          <w:sz w:val="24"/>
          <w:szCs w:val="24"/>
        </w:rPr>
        <w:t>CVaR</w:t>
      </w:r>
      <w:proofErr w:type="spellEnd"/>
      <w:r w:rsidR="00A6592F" w:rsidRPr="00767C38">
        <w:rPr>
          <w:rFonts w:ascii="Arial" w:hAnsi="Arial" w:cs="Arial"/>
          <w:sz w:val="24"/>
          <w:szCs w:val="24"/>
        </w:rPr>
        <w:t>)</w:t>
      </w:r>
      <w:r w:rsidR="00406D21" w:rsidRPr="00767C38">
        <w:rPr>
          <w:rFonts w:ascii="Arial" w:hAnsi="Arial" w:cs="Arial"/>
          <w:sz w:val="24"/>
          <w:szCs w:val="24"/>
        </w:rPr>
        <w:t>.</w:t>
      </w:r>
      <w:r w:rsidR="007E505D">
        <w:rPr>
          <w:rStyle w:val="FootnoteReference"/>
          <w:rFonts w:ascii="Arial" w:hAnsi="Arial" w:cs="Arial"/>
          <w:sz w:val="24"/>
          <w:szCs w:val="24"/>
        </w:rPr>
        <w:footnoteReference w:id="3"/>
      </w:r>
      <w:r w:rsidR="00406D21" w:rsidRPr="00767C38">
        <w:rPr>
          <w:rFonts w:ascii="Arial" w:hAnsi="Arial" w:cs="Arial"/>
          <w:sz w:val="24"/>
          <w:szCs w:val="24"/>
        </w:rPr>
        <w:t xml:space="preserve"> </w:t>
      </w:r>
    </w:p>
    <w:p w14:paraId="5ACE8EEE" w14:textId="45EB325D" w:rsidR="00721894" w:rsidRPr="00767C38" w:rsidRDefault="00406D21" w:rsidP="00105569">
      <w:pPr>
        <w:pBdr>
          <w:top w:val="nil"/>
          <w:left w:val="nil"/>
          <w:bottom w:val="nil"/>
          <w:right w:val="nil"/>
          <w:between w:val="nil"/>
        </w:pBdr>
        <w:spacing w:line="480" w:lineRule="auto"/>
        <w:ind w:firstLine="720"/>
        <w:rPr>
          <w:rFonts w:ascii="Arial" w:hAnsi="Arial" w:cs="Arial"/>
          <w:sz w:val="24"/>
          <w:szCs w:val="24"/>
        </w:rPr>
      </w:pPr>
      <w:r w:rsidRPr="00767C38">
        <w:rPr>
          <w:rFonts w:ascii="Arial" w:hAnsi="Arial" w:cs="Arial"/>
          <w:sz w:val="24"/>
          <w:szCs w:val="24"/>
        </w:rPr>
        <w:t>As noted in our original comments,</w:t>
      </w:r>
      <w:r w:rsidR="001C01D9" w:rsidRPr="00767C38">
        <w:rPr>
          <w:rFonts w:ascii="Arial" w:hAnsi="Arial" w:cs="Arial"/>
          <w:sz w:val="24"/>
          <w:szCs w:val="24"/>
        </w:rPr>
        <w:t xml:space="preserve"> </w:t>
      </w:r>
      <w:r w:rsidR="00351B2F" w:rsidRPr="00767C38">
        <w:rPr>
          <w:rFonts w:ascii="Arial" w:hAnsi="Arial" w:cs="Arial"/>
          <w:sz w:val="24"/>
          <w:szCs w:val="24"/>
        </w:rPr>
        <w:t xml:space="preserve">Solar Associations </w:t>
      </w:r>
      <w:r w:rsidR="001C01D9" w:rsidRPr="00767C38">
        <w:rPr>
          <w:rFonts w:ascii="Arial" w:hAnsi="Arial" w:cs="Arial"/>
          <w:sz w:val="24"/>
          <w:szCs w:val="24"/>
        </w:rPr>
        <w:t xml:space="preserve">support the </w:t>
      </w:r>
      <w:r w:rsidR="00DF40CE">
        <w:rPr>
          <w:rFonts w:ascii="Arial" w:hAnsi="Arial" w:cs="Arial"/>
          <w:sz w:val="24"/>
          <w:szCs w:val="24"/>
        </w:rPr>
        <w:t xml:space="preserve">use of multiple metrics </w:t>
      </w:r>
      <w:r w:rsidR="009E528A">
        <w:rPr>
          <w:rFonts w:ascii="Arial" w:hAnsi="Arial" w:cs="Arial"/>
          <w:sz w:val="24"/>
          <w:szCs w:val="24"/>
        </w:rPr>
        <w:t xml:space="preserve">and standards </w:t>
      </w:r>
      <w:r w:rsidR="00270CD9">
        <w:rPr>
          <w:rFonts w:ascii="Arial" w:hAnsi="Arial" w:cs="Arial"/>
          <w:sz w:val="24"/>
          <w:szCs w:val="24"/>
        </w:rPr>
        <w:t xml:space="preserve">(including </w:t>
      </w:r>
      <w:r w:rsidR="001B1E8B">
        <w:rPr>
          <w:rFonts w:ascii="Arial" w:hAnsi="Arial" w:cs="Arial"/>
          <w:sz w:val="24"/>
          <w:szCs w:val="24"/>
        </w:rPr>
        <w:t xml:space="preserve">EUE and </w:t>
      </w:r>
      <w:r w:rsidR="00270CD9">
        <w:rPr>
          <w:rFonts w:ascii="Arial" w:hAnsi="Arial" w:cs="Arial"/>
          <w:sz w:val="24"/>
          <w:szCs w:val="24"/>
        </w:rPr>
        <w:t xml:space="preserve">VOLL) </w:t>
      </w:r>
      <w:r w:rsidR="00A6592F" w:rsidRPr="00767C38">
        <w:rPr>
          <w:rFonts w:ascii="Arial" w:hAnsi="Arial" w:cs="Arial"/>
          <w:sz w:val="24"/>
          <w:szCs w:val="24"/>
        </w:rPr>
        <w:t>and</w:t>
      </w:r>
      <w:r w:rsidRPr="00767C38">
        <w:rPr>
          <w:rFonts w:ascii="Arial" w:hAnsi="Arial" w:cs="Arial"/>
          <w:sz w:val="24"/>
          <w:szCs w:val="24"/>
        </w:rPr>
        <w:t xml:space="preserve"> </w:t>
      </w:r>
      <w:r w:rsidR="00A815C9">
        <w:rPr>
          <w:rFonts w:ascii="Arial" w:hAnsi="Arial" w:cs="Arial"/>
          <w:sz w:val="24"/>
          <w:szCs w:val="24"/>
        </w:rPr>
        <w:t xml:space="preserve">we </w:t>
      </w:r>
      <w:r w:rsidRPr="00767C38">
        <w:rPr>
          <w:rFonts w:ascii="Arial" w:hAnsi="Arial" w:cs="Arial"/>
          <w:sz w:val="24"/>
          <w:szCs w:val="24"/>
        </w:rPr>
        <w:t xml:space="preserve">agree </w:t>
      </w:r>
      <w:r w:rsidR="00351B2F" w:rsidRPr="00767C38">
        <w:rPr>
          <w:rFonts w:ascii="Arial" w:hAnsi="Arial" w:cs="Arial"/>
          <w:sz w:val="24"/>
          <w:szCs w:val="24"/>
        </w:rPr>
        <w:t xml:space="preserve">with </w:t>
      </w:r>
      <w:r w:rsidRPr="00767C38">
        <w:rPr>
          <w:rFonts w:ascii="Arial" w:hAnsi="Arial" w:cs="Arial"/>
          <w:sz w:val="24"/>
          <w:szCs w:val="24"/>
        </w:rPr>
        <w:t>the Hunt Energy Network (</w:t>
      </w:r>
      <w:r w:rsidR="00351B2F" w:rsidRPr="00767C38">
        <w:rPr>
          <w:rFonts w:ascii="Arial" w:hAnsi="Arial" w:cs="Arial"/>
          <w:sz w:val="24"/>
          <w:szCs w:val="24"/>
        </w:rPr>
        <w:t>HEN</w:t>
      </w:r>
      <w:r w:rsidRPr="00767C38">
        <w:rPr>
          <w:rFonts w:ascii="Arial" w:hAnsi="Arial" w:cs="Arial"/>
          <w:sz w:val="24"/>
          <w:szCs w:val="24"/>
        </w:rPr>
        <w:t>)</w:t>
      </w:r>
      <w:r w:rsidR="007C6444">
        <w:rPr>
          <w:rFonts w:ascii="Arial" w:hAnsi="Arial" w:cs="Arial"/>
          <w:sz w:val="24"/>
          <w:szCs w:val="24"/>
        </w:rPr>
        <w:t xml:space="preserve">, Texas Oil </w:t>
      </w:r>
      <w:r w:rsidR="00235FE0">
        <w:rPr>
          <w:rFonts w:ascii="Arial" w:hAnsi="Arial" w:cs="Arial"/>
          <w:sz w:val="24"/>
          <w:szCs w:val="24"/>
        </w:rPr>
        <w:t xml:space="preserve">&amp; </w:t>
      </w:r>
      <w:r w:rsidR="007C6444">
        <w:rPr>
          <w:rFonts w:ascii="Arial" w:hAnsi="Arial" w:cs="Arial"/>
          <w:sz w:val="24"/>
          <w:szCs w:val="24"/>
        </w:rPr>
        <w:t xml:space="preserve">Gas Association, </w:t>
      </w:r>
      <w:r w:rsidR="00542B1B">
        <w:rPr>
          <w:rFonts w:ascii="Arial" w:hAnsi="Arial" w:cs="Arial"/>
          <w:sz w:val="24"/>
          <w:szCs w:val="24"/>
        </w:rPr>
        <w:t>Lower Colorado River Authority, NRG Energy, Form Energy,</w:t>
      </w:r>
      <w:r w:rsidRPr="00767C38">
        <w:rPr>
          <w:rFonts w:ascii="Arial" w:hAnsi="Arial" w:cs="Arial"/>
          <w:sz w:val="24"/>
          <w:szCs w:val="24"/>
        </w:rPr>
        <w:t xml:space="preserve"> </w:t>
      </w:r>
      <w:r w:rsidR="002C5E54">
        <w:rPr>
          <w:rFonts w:ascii="Arial" w:hAnsi="Arial" w:cs="Arial"/>
          <w:sz w:val="24"/>
          <w:szCs w:val="24"/>
        </w:rPr>
        <w:t>Texas</w:t>
      </w:r>
      <w:r w:rsidR="00813549">
        <w:rPr>
          <w:rFonts w:ascii="Arial" w:hAnsi="Arial" w:cs="Arial"/>
          <w:sz w:val="24"/>
          <w:szCs w:val="24"/>
        </w:rPr>
        <w:t xml:space="preserve"> </w:t>
      </w:r>
      <w:r w:rsidR="002C5E54">
        <w:rPr>
          <w:rFonts w:ascii="Arial" w:hAnsi="Arial" w:cs="Arial"/>
          <w:sz w:val="24"/>
          <w:szCs w:val="24"/>
        </w:rPr>
        <w:t xml:space="preserve">Industrial </w:t>
      </w:r>
      <w:r w:rsidR="00813549">
        <w:rPr>
          <w:rFonts w:ascii="Arial" w:hAnsi="Arial" w:cs="Arial"/>
          <w:sz w:val="24"/>
          <w:szCs w:val="24"/>
        </w:rPr>
        <w:t xml:space="preserve">Energy </w:t>
      </w:r>
      <w:r w:rsidR="002C5E54">
        <w:rPr>
          <w:rFonts w:ascii="Arial" w:hAnsi="Arial" w:cs="Arial"/>
          <w:sz w:val="24"/>
          <w:szCs w:val="24"/>
        </w:rPr>
        <w:t xml:space="preserve">Consumers, </w:t>
      </w:r>
      <w:r w:rsidR="00F9596E" w:rsidRPr="00F9596E">
        <w:rPr>
          <w:rFonts w:ascii="Arial" w:hAnsi="Arial" w:cs="Arial"/>
          <w:sz w:val="24"/>
          <w:szCs w:val="24"/>
        </w:rPr>
        <w:t>Texas Advanced Energy Business Alliance</w:t>
      </w:r>
      <w:r w:rsidR="00105569">
        <w:rPr>
          <w:rFonts w:ascii="Arial" w:hAnsi="Arial" w:cs="Arial"/>
          <w:sz w:val="24"/>
          <w:szCs w:val="24"/>
        </w:rPr>
        <w:t>,</w:t>
      </w:r>
      <w:r w:rsidR="00F9596E" w:rsidRPr="00F9596E">
        <w:rPr>
          <w:rFonts w:ascii="Arial" w:hAnsi="Arial" w:cs="Arial"/>
          <w:sz w:val="24"/>
          <w:szCs w:val="24"/>
        </w:rPr>
        <w:t xml:space="preserve"> and Constellation Energy</w:t>
      </w:r>
      <w:r w:rsidRPr="00767C38">
        <w:rPr>
          <w:rStyle w:val="FootnoteReference"/>
          <w:rFonts w:ascii="Arial" w:hAnsi="Arial" w:cs="Arial"/>
          <w:sz w:val="24"/>
          <w:szCs w:val="24"/>
        </w:rPr>
        <w:footnoteReference w:id="4"/>
      </w:r>
      <w:r w:rsidR="00351B2F" w:rsidRPr="00767C38">
        <w:rPr>
          <w:rFonts w:ascii="Arial" w:hAnsi="Arial" w:cs="Arial"/>
          <w:sz w:val="24"/>
          <w:szCs w:val="24"/>
        </w:rPr>
        <w:t xml:space="preserve"> that </w:t>
      </w:r>
      <w:r w:rsidR="00B61B7C">
        <w:rPr>
          <w:rFonts w:ascii="Arial" w:hAnsi="Arial" w:cs="Arial"/>
          <w:sz w:val="24"/>
          <w:szCs w:val="24"/>
        </w:rPr>
        <w:t xml:space="preserve">that </w:t>
      </w:r>
      <w:r w:rsidR="00351B2F" w:rsidRPr="00767C38">
        <w:rPr>
          <w:rFonts w:ascii="Arial" w:hAnsi="Arial" w:cs="Arial"/>
          <w:sz w:val="24"/>
          <w:szCs w:val="24"/>
        </w:rPr>
        <w:t xml:space="preserve">the Commission should consider </w:t>
      </w:r>
      <w:r w:rsidR="00EE7B17">
        <w:rPr>
          <w:rFonts w:ascii="Arial" w:hAnsi="Arial" w:cs="Arial"/>
          <w:sz w:val="24"/>
          <w:szCs w:val="24"/>
        </w:rPr>
        <w:t xml:space="preserve">use of </w:t>
      </w:r>
      <w:r w:rsidR="00496831">
        <w:rPr>
          <w:rFonts w:ascii="Arial" w:hAnsi="Arial" w:cs="Arial"/>
          <w:sz w:val="24"/>
          <w:szCs w:val="24"/>
        </w:rPr>
        <w:t>EUE</w:t>
      </w:r>
      <w:r w:rsidR="00A6592F" w:rsidRPr="00767C38">
        <w:rPr>
          <w:rFonts w:ascii="Arial" w:hAnsi="Arial" w:cs="Arial"/>
          <w:sz w:val="24"/>
          <w:szCs w:val="24"/>
        </w:rPr>
        <w:t>.  Solar Associations also agree with HEN</w:t>
      </w:r>
      <w:r w:rsidR="00351B2F" w:rsidRPr="00767C38">
        <w:rPr>
          <w:rFonts w:ascii="Arial" w:hAnsi="Arial" w:cs="Arial"/>
          <w:sz w:val="24"/>
          <w:szCs w:val="24"/>
        </w:rPr>
        <w:t xml:space="preserve"> </w:t>
      </w:r>
      <w:r w:rsidR="00A6592F" w:rsidRPr="00767C38">
        <w:rPr>
          <w:rFonts w:ascii="Arial" w:hAnsi="Arial" w:cs="Arial"/>
          <w:sz w:val="24"/>
          <w:szCs w:val="24"/>
        </w:rPr>
        <w:t>that the Commission should also</w:t>
      </w:r>
      <w:r w:rsidR="00351B2F" w:rsidRPr="00767C38">
        <w:rPr>
          <w:rFonts w:ascii="Arial" w:hAnsi="Arial" w:cs="Arial"/>
          <w:sz w:val="24"/>
          <w:szCs w:val="24"/>
        </w:rPr>
        <w:t xml:space="preserve"> consider correlated common mode failures.</w:t>
      </w:r>
      <w:r w:rsidR="00AA33FD" w:rsidRPr="00767C38">
        <w:rPr>
          <w:rStyle w:val="FootnoteReference"/>
          <w:rFonts w:ascii="Arial" w:hAnsi="Arial" w:cs="Arial"/>
          <w:sz w:val="24"/>
          <w:szCs w:val="24"/>
        </w:rPr>
        <w:footnoteReference w:id="5"/>
      </w:r>
    </w:p>
    <w:p w14:paraId="7F8AF98D" w14:textId="4B56D267" w:rsidR="00565A88" w:rsidRPr="00767C38" w:rsidRDefault="00565A88" w:rsidP="00565A88">
      <w:pPr>
        <w:pBdr>
          <w:top w:val="nil"/>
          <w:left w:val="nil"/>
          <w:bottom w:val="nil"/>
          <w:right w:val="nil"/>
          <w:between w:val="nil"/>
        </w:pBdr>
        <w:spacing w:line="480" w:lineRule="auto"/>
        <w:rPr>
          <w:rFonts w:ascii="Arial" w:hAnsi="Arial" w:cs="Arial"/>
          <w:sz w:val="24"/>
          <w:szCs w:val="24"/>
        </w:rPr>
      </w:pPr>
      <w:r w:rsidRPr="00767C38">
        <w:rPr>
          <w:rFonts w:ascii="Arial" w:hAnsi="Arial" w:cs="Arial"/>
          <w:sz w:val="24"/>
          <w:szCs w:val="24"/>
        </w:rPr>
        <w:tab/>
        <w:t xml:space="preserve">STEC’s </w:t>
      </w:r>
      <w:r w:rsidR="00AA33FD" w:rsidRPr="00767C38">
        <w:rPr>
          <w:rFonts w:ascii="Arial" w:hAnsi="Arial" w:cs="Arial"/>
          <w:sz w:val="24"/>
          <w:szCs w:val="24"/>
        </w:rPr>
        <w:t xml:space="preserve">recommendation </w:t>
      </w:r>
      <w:r w:rsidRPr="00767C38">
        <w:rPr>
          <w:rFonts w:ascii="Arial" w:hAnsi="Arial" w:cs="Arial"/>
          <w:sz w:val="24"/>
          <w:szCs w:val="24"/>
        </w:rPr>
        <w:t>is rooted in history</w:t>
      </w:r>
      <w:r w:rsidR="00AA33FD" w:rsidRPr="00767C38">
        <w:rPr>
          <w:rFonts w:ascii="Arial" w:hAnsi="Arial" w:cs="Arial"/>
          <w:sz w:val="24"/>
          <w:szCs w:val="24"/>
        </w:rPr>
        <w:t xml:space="preserve"> whereas</w:t>
      </w:r>
      <w:r w:rsidRPr="00767C38">
        <w:rPr>
          <w:rFonts w:ascii="Arial" w:hAnsi="Arial" w:cs="Arial"/>
          <w:sz w:val="24"/>
          <w:szCs w:val="24"/>
        </w:rPr>
        <w:t xml:space="preserve"> </w:t>
      </w:r>
      <w:r w:rsidR="00A6592F" w:rsidRPr="00767C38">
        <w:rPr>
          <w:rFonts w:ascii="Arial" w:hAnsi="Arial" w:cs="Arial"/>
          <w:sz w:val="24"/>
          <w:szCs w:val="24"/>
        </w:rPr>
        <w:t xml:space="preserve">proponents of EUE recognize </w:t>
      </w:r>
      <w:r w:rsidR="007E505D" w:rsidRPr="00767C38">
        <w:rPr>
          <w:rFonts w:ascii="Arial" w:hAnsi="Arial" w:cs="Arial"/>
          <w:sz w:val="24"/>
          <w:szCs w:val="24"/>
        </w:rPr>
        <w:t>more modern and sophisticated</w:t>
      </w:r>
      <w:r w:rsidRPr="00767C38">
        <w:rPr>
          <w:rFonts w:ascii="Arial" w:hAnsi="Arial" w:cs="Arial"/>
          <w:sz w:val="24"/>
          <w:szCs w:val="24"/>
        </w:rPr>
        <w:t xml:space="preserve"> approaches to </w:t>
      </w:r>
      <w:r w:rsidR="00AA33FD" w:rsidRPr="00767C38">
        <w:rPr>
          <w:rFonts w:ascii="Arial" w:hAnsi="Arial" w:cs="Arial"/>
          <w:sz w:val="24"/>
          <w:szCs w:val="24"/>
        </w:rPr>
        <w:t xml:space="preserve">solving </w:t>
      </w:r>
      <w:r w:rsidRPr="00767C38">
        <w:rPr>
          <w:rFonts w:ascii="Arial" w:hAnsi="Arial" w:cs="Arial"/>
          <w:sz w:val="24"/>
          <w:szCs w:val="24"/>
        </w:rPr>
        <w:t>complex reliability problems. While it is true that 1-in-10 LOLE is</w:t>
      </w:r>
      <w:r w:rsidR="00AA33FD" w:rsidRPr="00767C38">
        <w:rPr>
          <w:rFonts w:ascii="Arial" w:hAnsi="Arial" w:cs="Arial"/>
          <w:sz w:val="24"/>
          <w:szCs w:val="24"/>
        </w:rPr>
        <w:t xml:space="preserve"> the current</w:t>
      </w:r>
      <w:r w:rsidRPr="00767C38">
        <w:rPr>
          <w:rFonts w:ascii="Arial" w:hAnsi="Arial" w:cs="Arial"/>
          <w:sz w:val="24"/>
          <w:szCs w:val="24"/>
        </w:rPr>
        <w:t xml:space="preserve"> industry standard</w:t>
      </w:r>
      <w:r w:rsidR="00AA33FD" w:rsidRPr="00767C38">
        <w:rPr>
          <w:rFonts w:ascii="Arial" w:hAnsi="Arial" w:cs="Arial"/>
          <w:sz w:val="24"/>
          <w:szCs w:val="24"/>
        </w:rPr>
        <w:t>,</w:t>
      </w:r>
      <w:r w:rsidR="00AA33FD" w:rsidRPr="00767C38">
        <w:rPr>
          <w:rStyle w:val="FootnoteReference"/>
          <w:rFonts w:ascii="Arial" w:hAnsi="Arial" w:cs="Arial"/>
          <w:sz w:val="24"/>
          <w:szCs w:val="24"/>
        </w:rPr>
        <w:footnoteReference w:id="6"/>
      </w:r>
      <w:r w:rsidR="00AA33FD" w:rsidRPr="00767C38">
        <w:rPr>
          <w:rFonts w:ascii="Arial" w:hAnsi="Arial" w:cs="Arial"/>
          <w:sz w:val="24"/>
          <w:szCs w:val="24"/>
        </w:rPr>
        <w:t xml:space="preserve"> </w:t>
      </w:r>
      <w:r w:rsidRPr="00767C38">
        <w:rPr>
          <w:rFonts w:ascii="Arial" w:hAnsi="Arial" w:cs="Arial"/>
          <w:sz w:val="24"/>
          <w:szCs w:val="24"/>
        </w:rPr>
        <w:t xml:space="preserve">STEC’s position </w:t>
      </w:r>
      <w:r w:rsidR="00AA33FD" w:rsidRPr="00767C38">
        <w:rPr>
          <w:rFonts w:ascii="Arial" w:hAnsi="Arial" w:cs="Arial"/>
          <w:sz w:val="24"/>
          <w:szCs w:val="24"/>
        </w:rPr>
        <w:t>does not recognize the technology and other changes that have occurred which requires a new approach</w:t>
      </w:r>
      <w:r w:rsidRPr="00767C38">
        <w:rPr>
          <w:rFonts w:ascii="Arial" w:hAnsi="Arial" w:cs="Arial"/>
          <w:sz w:val="24"/>
          <w:szCs w:val="24"/>
        </w:rPr>
        <w:t xml:space="preserve">. STEC states that </w:t>
      </w:r>
      <w:r w:rsidR="00A72ABD">
        <w:rPr>
          <w:rFonts w:ascii="Arial" w:hAnsi="Arial" w:cs="Arial"/>
          <w:sz w:val="24"/>
          <w:szCs w:val="24"/>
        </w:rPr>
        <w:t xml:space="preserve"> </w:t>
      </w:r>
      <w:r w:rsidRPr="00767C38">
        <w:rPr>
          <w:rFonts w:ascii="Arial" w:hAnsi="Arial" w:cs="Arial"/>
          <w:sz w:val="24"/>
          <w:szCs w:val="24"/>
        </w:rPr>
        <w:t xml:space="preserve">“Although there are other standards like EUE, such as Loss of Load Hours or Economically Optimal Reserve Margin ("EORM"), each of these metrics assumes a level of acceptable firm load shed and result in higher incidences of firm load shed than the 1-in-10 Year LOLE. These types of standards are inconsistent </w:t>
      </w:r>
      <w:r w:rsidRPr="00767C38">
        <w:rPr>
          <w:rFonts w:ascii="Arial" w:hAnsi="Arial" w:cs="Arial"/>
          <w:sz w:val="24"/>
          <w:szCs w:val="24"/>
        </w:rPr>
        <w:lastRenderedPageBreak/>
        <w:t>with the legislative mandate to achieve reliability and avoid the outcomes experienced in Winter Storm Uri for the next polar vortex or wintry mix storm.”</w:t>
      </w:r>
      <w:r w:rsidR="00AA33FD" w:rsidRPr="00767C38">
        <w:rPr>
          <w:rStyle w:val="FootnoteReference"/>
          <w:rFonts w:ascii="Arial" w:hAnsi="Arial" w:cs="Arial"/>
          <w:sz w:val="24"/>
          <w:szCs w:val="24"/>
        </w:rPr>
        <w:footnoteReference w:id="7"/>
      </w:r>
      <w:r w:rsidRPr="00767C38">
        <w:rPr>
          <w:rFonts w:ascii="Arial" w:hAnsi="Arial" w:cs="Arial"/>
          <w:sz w:val="24"/>
          <w:szCs w:val="24"/>
        </w:rPr>
        <w:t xml:space="preserve"> </w:t>
      </w:r>
    </w:p>
    <w:p w14:paraId="212F0741" w14:textId="4A81C4A0" w:rsidR="000855DC" w:rsidRPr="00767C38" w:rsidRDefault="00AA33FD" w:rsidP="00565A88">
      <w:pPr>
        <w:pBdr>
          <w:top w:val="nil"/>
          <w:left w:val="nil"/>
          <w:bottom w:val="nil"/>
          <w:right w:val="nil"/>
          <w:between w:val="nil"/>
        </w:pBdr>
        <w:spacing w:line="480" w:lineRule="auto"/>
        <w:rPr>
          <w:rFonts w:ascii="Arial" w:hAnsi="Arial" w:cs="Arial"/>
          <w:sz w:val="24"/>
          <w:szCs w:val="24"/>
        </w:rPr>
      </w:pPr>
      <w:r w:rsidRPr="00767C38">
        <w:rPr>
          <w:rFonts w:ascii="Arial" w:hAnsi="Arial" w:cs="Arial"/>
          <w:sz w:val="24"/>
          <w:szCs w:val="24"/>
        </w:rPr>
        <w:tab/>
        <w:t xml:space="preserve">STEC articulates several benefits of </w:t>
      </w:r>
      <w:r w:rsidR="00DC25D4" w:rsidRPr="00767C38">
        <w:rPr>
          <w:rFonts w:ascii="Arial" w:hAnsi="Arial" w:cs="Arial"/>
          <w:sz w:val="24"/>
          <w:szCs w:val="24"/>
        </w:rPr>
        <w:t xml:space="preserve">retaining </w:t>
      </w:r>
      <w:r w:rsidRPr="00767C38">
        <w:rPr>
          <w:rFonts w:ascii="Arial" w:hAnsi="Arial" w:cs="Arial"/>
          <w:sz w:val="24"/>
          <w:szCs w:val="24"/>
        </w:rPr>
        <w:t>the 0.1 LOL</w:t>
      </w:r>
      <w:r w:rsidR="00DC25D4" w:rsidRPr="00767C38">
        <w:rPr>
          <w:rFonts w:ascii="Arial" w:hAnsi="Arial" w:cs="Arial"/>
          <w:sz w:val="24"/>
          <w:szCs w:val="24"/>
        </w:rPr>
        <w:t>E including that it is “identifiable, predictable, readily available, and easily understood.”</w:t>
      </w:r>
      <w:r w:rsidR="00DC25D4" w:rsidRPr="00767C38">
        <w:rPr>
          <w:rStyle w:val="FootnoteReference"/>
          <w:rFonts w:ascii="Arial" w:hAnsi="Arial" w:cs="Arial"/>
          <w:sz w:val="24"/>
          <w:szCs w:val="24"/>
        </w:rPr>
        <w:footnoteReference w:id="8"/>
      </w:r>
      <w:r w:rsidR="00DC25D4" w:rsidRPr="00767C38">
        <w:rPr>
          <w:rFonts w:ascii="Arial" w:hAnsi="Arial" w:cs="Arial"/>
          <w:sz w:val="24"/>
          <w:szCs w:val="24"/>
        </w:rPr>
        <w:t xml:space="preserve">  In addition, STEC states that the 0.1 LOLE standard has “proven to be an effective planning standard” and “customers in ERCOT will not have less reliable service than customers in other states…”.</w:t>
      </w:r>
      <w:r w:rsidR="00DC25D4" w:rsidRPr="00767C38">
        <w:rPr>
          <w:rStyle w:val="FootnoteReference"/>
          <w:rFonts w:ascii="Arial" w:hAnsi="Arial" w:cs="Arial"/>
          <w:sz w:val="24"/>
          <w:szCs w:val="24"/>
        </w:rPr>
        <w:footnoteReference w:id="9"/>
      </w:r>
      <w:r w:rsidR="00DC25D4" w:rsidRPr="00767C38">
        <w:rPr>
          <w:rFonts w:ascii="Arial" w:hAnsi="Arial" w:cs="Arial"/>
          <w:sz w:val="24"/>
          <w:szCs w:val="24"/>
        </w:rPr>
        <w:t xml:space="preserve">  While Solar Associations do agree that the 0.1 LOLE standard is well known and easily understood, we respectfully disagree that i</w:t>
      </w:r>
      <w:r w:rsidR="0017417E" w:rsidRPr="00767C38">
        <w:rPr>
          <w:rFonts w:ascii="Arial" w:hAnsi="Arial" w:cs="Arial"/>
          <w:sz w:val="24"/>
          <w:szCs w:val="24"/>
        </w:rPr>
        <w:t xml:space="preserve">t would be an effective planning standard </w:t>
      </w:r>
      <w:r w:rsidR="002A248E" w:rsidRPr="00767C38">
        <w:rPr>
          <w:rFonts w:ascii="Arial" w:hAnsi="Arial" w:cs="Arial"/>
          <w:sz w:val="24"/>
          <w:szCs w:val="24"/>
        </w:rPr>
        <w:t xml:space="preserve">(on its own) </w:t>
      </w:r>
      <w:r w:rsidR="0017417E" w:rsidRPr="00767C38">
        <w:rPr>
          <w:rFonts w:ascii="Arial" w:hAnsi="Arial" w:cs="Arial"/>
          <w:sz w:val="24"/>
          <w:szCs w:val="24"/>
        </w:rPr>
        <w:t>because it is one</w:t>
      </w:r>
      <w:r w:rsidR="00E434DB" w:rsidRPr="00767C38">
        <w:rPr>
          <w:rFonts w:ascii="Arial" w:hAnsi="Arial" w:cs="Arial"/>
          <w:sz w:val="24"/>
          <w:szCs w:val="24"/>
        </w:rPr>
        <w:t>-</w:t>
      </w:r>
      <w:r w:rsidR="0017417E" w:rsidRPr="00767C38">
        <w:rPr>
          <w:rFonts w:ascii="Arial" w:hAnsi="Arial" w:cs="Arial"/>
          <w:sz w:val="24"/>
          <w:szCs w:val="24"/>
        </w:rPr>
        <w:t>dimensional</w:t>
      </w:r>
      <w:r w:rsidR="00E434DB" w:rsidRPr="00767C38">
        <w:rPr>
          <w:rFonts w:ascii="Arial" w:hAnsi="Arial" w:cs="Arial"/>
          <w:sz w:val="24"/>
          <w:szCs w:val="24"/>
        </w:rPr>
        <w:t xml:space="preserve"> (considers only frequency)</w:t>
      </w:r>
      <w:r w:rsidR="0017417E" w:rsidRPr="00767C38">
        <w:rPr>
          <w:rFonts w:ascii="Arial" w:hAnsi="Arial" w:cs="Arial"/>
          <w:sz w:val="24"/>
          <w:szCs w:val="24"/>
        </w:rPr>
        <w:t xml:space="preserve">.  Furthermore, the benchmark for reliability in Texas should not be whether our standards are similar to other regions (which could be adequate or inadequate), </w:t>
      </w:r>
      <w:bookmarkStart w:id="1" w:name="_Hlk131590335"/>
      <w:r w:rsidR="002A248E" w:rsidRPr="00767C38">
        <w:rPr>
          <w:rFonts w:ascii="Arial" w:hAnsi="Arial" w:cs="Arial"/>
          <w:sz w:val="24"/>
          <w:szCs w:val="24"/>
        </w:rPr>
        <w:t xml:space="preserve">the reliability standard in ERCOT should </w:t>
      </w:r>
      <w:r w:rsidR="000855DC" w:rsidRPr="00767C38">
        <w:rPr>
          <w:rFonts w:ascii="Arial" w:hAnsi="Arial" w:cs="Arial"/>
          <w:sz w:val="24"/>
          <w:szCs w:val="24"/>
        </w:rPr>
        <w:t xml:space="preserve">be evaluated in multi-dimensions and under different scenarios that </w:t>
      </w:r>
      <w:r w:rsidR="002A248E" w:rsidRPr="00767C38">
        <w:rPr>
          <w:rFonts w:ascii="Arial" w:hAnsi="Arial" w:cs="Arial"/>
          <w:sz w:val="24"/>
          <w:szCs w:val="24"/>
        </w:rPr>
        <w:t>meet</w:t>
      </w:r>
      <w:r w:rsidR="000855DC" w:rsidRPr="00767C38">
        <w:rPr>
          <w:rFonts w:ascii="Arial" w:hAnsi="Arial" w:cs="Arial"/>
          <w:sz w:val="24"/>
          <w:szCs w:val="24"/>
        </w:rPr>
        <w:t>s</w:t>
      </w:r>
      <w:r w:rsidR="002A248E" w:rsidRPr="00767C38">
        <w:rPr>
          <w:rFonts w:ascii="Arial" w:hAnsi="Arial" w:cs="Arial"/>
          <w:sz w:val="24"/>
          <w:szCs w:val="24"/>
        </w:rPr>
        <w:t xml:space="preserve"> the unique needs of our system</w:t>
      </w:r>
      <w:r w:rsidR="0017417E" w:rsidRPr="00767C38">
        <w:rPr>
          <w:rFonts w:ascii="Arial" w:hAnsi="Arial" w:cs="Arial"/>
          <w:sz w:val="24"/>
          <w:szCs w:val="24"/>
        </w:rPr>
        <w:t>.</w:t>
      </w:r>
    </w:p>
    <w:bookmarkEnd w:id="1"/>
    <w:p w14:paraId="365656EB" w14:textId="5F310B15" w:rsidR="000855DC" w:rsidRPr="00767C38" w:rsidRDefault="0017417E" w:rsidP="00E434DB">
      <w:pPr>
        <w:pBdr>
          <w:top w:val="nil"/>
          <w:left w:val="nil"/>
          <w:bottom w:val="nil"/>
          <w:right w:val="nil"/>
          <w:between w:val="nil"/>
        </w:pBdr>
        <w:spacing w:line="480" w:lineRule="auto"/>
        <w:ind w:firstLine="720"/>
        <w:rPr>
          <w:rFonts w:ascii="Arial" w:hAnsi="Arial" w:cs="Arial"/>
          <w:sz w:val="24"/>
          <w:szCs w:val="24"/>
        </w:rPr>
      </w:pPr>
      <w:r w:rsidRPr="00767C38">
        <w:rPr>
          <w:rFonts w:ascii="Arial" w:hAnsi="Arial" w:cs="Arial"/>
          <w:sz w:val="24"/>
          <w:szCs w:val="24"/>
        </w:rPr>
        <w:t xml:space="preserve">Solar Associations agree with HEN </w:t>
      </w:r>
      <w:r w:rsidR="00974508">
        <w:rPr>
          <w:rFonts w:ascii="Arial" w:hAnsi="Arial" w:cs="Arial"/>
          <w:sz w:val="24"/>
          <w:szCs w:val="24"/>
        </w:rPr>
        <w:t xml:space="preserve">and others </w:t>
      </w:r>
      <w:r w:rsidRPr="00767C38">
        <w:rPr>
          <w:rFonts w:ascii="Arial" w:hAnsi="Arial" w:cs="Arial"/>
          <w:sz w:val="24"/>
          <w:szCs w:val="24"/>
        </w:rPr>
        <w:t xml:space="preserve">that </w:t>
      </w:r>
      <w:r w:rsidR="002A248E" w:rsidRPr="00767C38">
        <w:rPr>
          <w:rFonts w:ascii="Arial" w:hAnsi="Arial" w:cs="Arial"/>
          <w:sz w:val="24"/>
          <w:szCs w:val="24"/>
        </w:rPr>
        <w:t>the Commission should consider a different standard than the traditional LOLE because “it does not  capture the significance or magnitude of a load loss event.”</w:t>
      </w:r>
      <w:r w:rsidR="002A248E" w:rsidRPr="00767C38">
        <w:rPr>
          <w:rStyle w:val="FootnoteReference"/>
          <w:rFonts w:ascii="Arial" w:hAnsi="Arial" w:cs="Arial"/>
          <w:sz w:val="24"/>
          <w:szCs w:val="24"/>
        </w:rPr>
        <w:footnoteReference w:id="10"/>
      </w:r>
      <w:r w:rsidR="00254F5B">
        <w:rPr>
          <w:rFonts w:ascii="Arial" w:hAnsi="Arial" w:cs="Arial"/>
          <w:sz w:val="24"/>
          <w:szCs w:val="24"/>
        </w:rPr>
        <w:t xml:space="preserve">  </w:t>
      </w:r>
      <w:r w:rsidR="002A248E" w:rsidRPr="00767C38">
        <w:rPr>
          <w:rFonts w:ascii="Arial" w:hAnsi="Arial" w:cs="Arial"/>
          <w:sz w:val="24"/>
          <w:szCs w:val="24"/>
        </w:rPr>
        <w:t xml:space="preserve">Solar Associations also agree with HEN that use of the EUE in conjunction with an analysis of common mode failures would </w:t>
      </w:r>
      <w:r w:rsidR="000855DC" w:rsidRPr="00767C38">
        <w:rPr>
          <w:rFonts w:ascii="Arial" w:hAnsi="Arial" w:cs="Arial"/>
          <w:sz w:val="24"/>
          <w:szCs w:val="24"/>
        </w:rPr>
        <w:t>appropriately capture the multi-dimensionality necessary in setting a standard.</w:t>
      </w:r>
      <w:r w:rsidR="000855DC" w:rsidRPr="00767C38">
        <w:rPr>
          <w:rStyle w:val="FootnoteReference"/>
          <w:rFonts w:ascii="Arial" w:hAnsi="Arial" w:cs="Arial"/>
          <w:sz w:val="24"/>
          <w:szCs w:val="24"/>
        </w:rPr>
        <w:footnoteReference w:id="11"/>
      </w:r>
      <w:r w:rsidR="000855DC" w:rsidRPr="00767C38">
        <w:rPr>
          <w:rFonts w:ascii="Arial" w:hAnsi="Arial" w:cs="Arial"/>
          <w:sz w:val="24"/>
          <w:szCs w:val="24"/>
        </w:rPr>
        <w:t xml:space="preserve">  </w:t>
      </w:r>
      <w:r w:rsidR="00565A88" w:rsidRPr="00767C38">
        <w:rPr>
          <w:rFonts w:ascii="Arial" w:hAnsi="Arial" w:cs="Arial"/>
          <w:sz w:val="24"/>
          <w:szCs w:val="24"/>
        </w:rPr>
        <w:t xml:space="preserve">After discussing ERCOT’s proposed three metrics (magnitude, frequency, and duration), HEN </w:t>
      </w:r>
      <w:r w:rsidR="00565A88" w:rsidRPr="00767C38">
        <w:rPr>
          <w:rFonts w:ascii="Arial" w:hAnsi="Arial" w:cs="Arial"/>
          <w:sz w:val="24"/>
          <w:szCs w:val="24"/>
        </w:rPr>
        <w:lastRenderedPageBreak/>
        <w:t xml:space="preserve">describes </w:t>
      </w:r>
      <w:r w:rsidR="00E434DB" w:rsidRPr="00767C38">
        <w:rPr>
          <w:rFonts w:ascii="Arial" w:hAnsi="Arial" w:cs="Arial"/>
          <w:sz w:val="24"/>
          <w:szCs w:val="24"/>
        </w:rPr>
        <w:t xml:space="preserve">why each of </w:t>
      </w:r>
      <w:r w:rsidR="00565A88" w:rsidRPr="00767C38">
        <w:rPr>
          <w:rFonts w:ascii="Arial" w:hAnsi="Arial" w:cs="Arial"/>
          <w:sz w:val="24"/>
          <w:szCs w:val="24"/>
        </w:rPr>
        <w:t xml:space="preserve">these metrics </w:t>
      </w:r>
      <w:r w:rsidR="00E434DB" w:rsidRPr="00767C38">
        <w:rPr>
          <w:rFonts w:ascii="Arial" w:hAnsi="Arial" w:cs="Arial"/>
          <w:sz w:val="24"/>
          <w:szCs w:val="24"/>
        </w:rPr>
        <w:t>is important</w:t>
      </w:r>
      <w:r w:rsidR="00565A88" w:rsidRPr="00767C38">
        <w:rPr>
          <w:rFonts w:ascii="Arial" w:hAnsi="Arial" w:cs="Arial"/>
          <w:sz w:val="24"/>
          <w:szCs w:val="24"/>
        </w:rPr>
        <w:t xml:space="preserve"> for policymakers and the public to consider:</w:t>
      </w:r>
    </w:p>
    <w:p w14:paraId="0CE56C47" w14:textId="5EAD7E2B" w:rsidR="000855DC" w:rsidRPr="00767C38" w:rsidRDefault="000855DC" w:rsidP="00F92766">
      <w:pPr>
        <w:pBdr>
          <w:top w:val="nil"/>
          <w:left w:val="nil"/>
          <w:bottom w:val="nil"/>
          <w:right w:val="nil"/>
          <w:between w:val="nil"/>
        </w:pBdr>
        <w:ind w:left="720" w:right="720"/>
        <w:rPr>
          <w:rFonts w:ascii="Arial" w:hAnsi="Arial" w:cs="Arial"/>
          <w:sz w:val="24"/>
          <w:szCs w:val="24"/>
        </w:rPr>
      </w:pPr>
      <w:r w:rsidRPr="00767C38">
        <w:rPr>
          <w:rFonts w:ascii="Arial" w:hAnsi="Arial" w:cs="Arial"/>
          <w:sz w:val="24"/>
          <w:szCs w:val="24"/>
        </w:rPr>
        <w:t xml:space="preserve">The EUE measure </w:t>
      </w:r>
      <w:proofErr w:type="gramStart"/>
      <w:r w:rsidRPr="00767C38">
        <w:rPr>
          <w:rFonts w:ascii="Arial" w:hAnsi="Arial" w:cs="Arial"/>
          <w:sz w:val="24"/>
          <w:szCs w:val="24"/>
        </w:rPr>
        <w:t>takes into account</w:t>
      </w:r>
      <w:proofErr w:type="gramEnd"/>
      <w:r w:rsidRPr="00767C38">
        <w:rPr>
          <w:rFonts w:ascii="Arial" w:hAnsi="Arial" w:cs="Arial"/>
          <w:sz w:val="24"/>
          <w:szCs w:val="24"/>
        </w:rPr>
        <w:t xml:space="preserve"> all three of these metrics and forms a boundary for possible combinations of these three metrics. For example, the grid experiencing 1 loss of load event every 10 years (Frequency) losing 10,000 MW (Magnitude) for 10 hours (Duration) would have an EUE= 0.1 x 10,000 x 10 = 10,000MWh. Similarly, the grid experiencing10 loss of load events every 10 years (Frequency) losing 100 MW (Magnitude) for 10 hours (Duration) would have an EUE = 1 x 1,000 x 10 = 10,000 MWh. Although the grid would meet an LOLE reliability standard of 0.1 day/year for the first example, it would fail the LOLE standard for the second example, even though the second scenario may be much less impactful to grid operations and easily managed by ERCOT (ERCOT maintains 1,000 MW of reserves even when shedding firm load). This example shows the shortcomings of the LOLE standard while demonstrating how the EUE standard creates a boundary that these three metrics must meet in combination.</w:t>
      </w:r>
      <w:r w:rsidRPr="00767C38">
        <w:rPr>
          <w:rStyle w:val="FootnoteReference"/>
          <w:rFonts w:ascii="Arial" w:hAnsi="Arial" w:cs="Arial"/>
          <w:sz w:val="24"/>
          <w:szCs w:val="24"/>
        </w:rPr>
        <w:footnoteReference w:id="12"/>
      </w:r>
    </w:p>
    <w:p w14:paraId="56C74F5F" w14:textId="77777777" w:rsidR="000855DC" w:rsidRPr="00767C38" w:rsidDel="000855DC" w:rsidRDefault="000855DC" w:rsidP="00F92766">
      <w:pPr>
        <w:pBdr>
          <w:top w:val="nil"/>
          <w:left w:val="nil"/>
          <w:bottom w:val="nil"/>
          <w:right w:val="nil"/>
          <w:between w:val="nil"/>
        </w:pBdr>
        <w:spacing w:line="480" w:lineRule="auto"/>
        <w:ind w:firstLine="720"/>
        <w:rPr>
          <w:rFonts w:ascii="Arial" w:hAnsi="Arial" w:cs="Arial"/>
          <w:sz w:val="24"/>
          <w:szCs w:val="24"/>
        </w:rPr>
      </w:pPr>
    </w:p>
    <w:p w14:paraId="1D51AEC0" w14:textId="2C619E6F" w:rsidR="000C4091" w:rsidRPr="00767C38" w:rsidRDefault="00974508" w:rsidP="000C4091">
      <w:pPr>
        <w:pBdr>
          <w:top w:val="nil"/>
          <w:left w:val="nil"/>
          <w:bottom w:val="nil"/>
          <w:right w:val="nil"/>
          <w:between w:val="nil"/>
        </w:pBdr>
        <w:spacing w:line="480" w:lineRule="auto"/>
        <w:ind w:firstLine="720"/>
        <w:rPr>
          <w:rFonts w:ascii="Arial" w:hAnsi="Arial" w:cs="Arial"/>
          <w:sz w:val="24"/>
          <w:szCs w:val="24"/>
        </w:rPr>
      </w:pPr>
      <w:r>
        <w:rPr>
          <w:rFonts w:ascii="Arial" w:hAnsi="Arial" w:cs="Arial"/>
          <w:sz w:val="24"/>
          <w:szCs w:val="24"/>
        </w:rPr>
        <w:t xml:space="preserve">Solar Associations agree that the EUE captures the multi-dimensionality </w:t>
      </w:r>
      <w:r w:rsidR="00D50F4D">
        <w:rPr>
          <w:rFonts w:ascii="Arial" w:hAnsi="Arial" w:cs="Arial"/>
          <w:sz w:val="24"/>
          <w:szCs w:val="24"/>
        </w:rPr>
        <w:t>required</w:t>
      </w:r>
      <w:r>
        <w:rPr>
          <w:rFonts w:ascii="Arial" w:hAnsi="Arial" w:cs="Arial"/>
          <w:sz w:val="24"/>
          <w:szCs w:val="24"/>
        </w:rPr>
        <w:t xml:space="preserve"> to determine reliability </w:t>
      </w:r>
      <w:r w:rsidR="00D50F4D">
        <w:rPr>
          <w:rFonts w:ascii="Arial" w:hAnsi="Arial" w:cs="Arial"/>
          <w:sz w:val="24"/>
          <w:szCs w:val="24"/>
        </w:rPr>
        <w:t xml:space="preserve">needs </w:t>
      </w:r>
      <w:r>
        <w:rPr>
          <w:rFonts w:ascii="Arial" w:hAnsi="Arial" w:cs="Arial"/>
          <w:sz w:val="24"/>
          <w:szCs w:val="24"/>
        </w:rPr>
        <w:t xml:space="preserve">(especially when used with other </w:t>
      </w:r>
      <w:r w:rsidR="00996FBE">
        <w:rPr>
          <w:rFonts w:ascii="Arial" w:hAnsi="Arial" w:cs="Arial"/>
          <w:sz w:val="24"/>
          <w:szCs w:val="24"/>
        </w:rPr>
        <w:t>standards</w:t>
      </w:r>
      <w:r w:rsidR="007C4E7E">
        <w:rPr>
          <w:rFonts w:ascii="Arial" w:hAnsi="Arial" w:cs="Arial"/>
          <w:sz w:val="24"/>
          <w:szCs w:val="24"/>
        </w:rPr>
        <w:t xml:space="preserve"> and VOLL</w:t>
      </w:r>
      <w:r>
        <w:rPr>
          <w:rFonts w:ascii="Arial" w:hAnsi="Arial" w:cs="Arial"/>
          <w:sz w:val="24"/>
          <w:szCs w:val="24"/>
        </w:rPr>
        <w:t xml:space="preserve">). </w:t>
      </w:r>
      <w:r w:rsidR="000855DC" w:rsidRPr="00767C38">
        <w:rPr>
          <w:rFonts w:ascii="Arial" w:hAnsi="Arial" w:cs="Arial"/>
          <w:sz w:val="24"/>
          <w:szCs w:val="24"/>
        </w:rPr>
        <w:t xml:space="preserve">The use of the multi-dimensional </w:t>
      </w:r>
      <w:r w:rsidR="00565A88" w:rsidRPr="00767C38">
        <w:rPr>
          <w:rFonts w:ascii="Arial" w:hAnsi="Arial" w:cs="Arial"/>
          <w:sz w:val="24"/>
          <w:szCs w:val="24"/>
        </w:rPr>
        <w:t xml:space="preserve">EUE, </w:t>
      </w:r>
      <w:r w:rsidR="000855DC" w:rsidRPr="00767C38">
        <w:rPr>
          <w:rFonts w:ascii="Arial" w:hAnsi="Arial" w:cs="Arial"/>
          <w:sz w:val="24"/>
          <w:szCs w:val="24"/>
        </w:rPr>
        <w:t xml:space="preserve">which is </w:t>
      </w:r>
      <w:r w:rsidR="00565A88" w:rsidRPr="00767C38">
        <w:rPr>
          <w:rFonts w:ascii="Arial" w:hAnsi="Arial" w:cs="Arial"/>
          <w:sz w:val="24"/>
          <w:szCs w:val="24"/>
        </w:rPr>
        <w:t xml:space="preserve">rooted in an understanding of magnitude, frequency, and duration can help Texas prepare for a wide array of outcomes. </w:t>
      </w:r>
      <w:r w:rsidR="000855DC" w:rsidRPr="00767C38">
        <w:rPr>
          <w:rFonts w:ascii="Arial" w:hAnsi="Arial" w:cs="Arial"/>
          <w:sz w:val="24"/>
          <w:szCs w:val="24"/>
        </w:rPr>
        <w:t xml:space="preserve"> </w:t>
      </w:r>
      <w:r w:rsidR="00E434DB" w:rsidRPr="00767C38">
        <w:rPr>
          <w:rFonts w:ascii="Arial" w:hAnsi="Arial" w:cs="Arial"/>
          <w:sz w:val="24"/>
          <w:szCs w:val="24"/>
        </w:rPr>
        <w:t xml:space="preserve">In contrast, the use of </w:t>
      </w:r>
      <w:r w:rsidR="00565A88" w:rsidRPr="00767C38">
        <w:rPr>
          <w:rFonts w:ascii="Arial" w:hAnsi="Arial" w:cs="Arial"/>
          <w:sz w:val="24"/>
          <w:szCs w:val="24"/>
        </w:rPr>
        <w:t xml:space="preserve">LOLE considers the loss of 100 megawatts and 10,000 MW on an equal basis </w:t>
      </w:r>
      <w:r w:rsidR="00E434DB" w:rsidRPr="00767C38">
        <w:rPr>
          <w:rFonts w:ascii="Arial" w:hAnsi="Arial" w:cs="Arial"/>
          <w:sz w:val="24"/>
          <w:szCs w:val="24"/>
        </w:rPr>
        <w:t>(i.e.,</w:t>
      </w:r>
      <w:r w:rsidR="00565A88" w:rsidRPr="00767C38">
        <w:rPr>
          <w:rFonts w:ascii="Arial" w:hAnsi="Arial" w:cs="Arial"/>
          <w:sz w:val="24"/>
          <w:szCs w:val="24"/>
        </w:rPr>
        <w:t xml:space="preserve"> it only considers frequency</w:t>
      </w:r>
      <w:r w:rsidR="00E434DB" w:rsidRPr="00767C38">
        <w:rPr>
          <w:rFonts w:ascii="Arial" w:hAnsi="Arial" w:cs="Arial"/>
          <w:sz w:val="24"/>
          <w:szCs w:val="24"/>
        </w:rPr>
        <w:t>)</w:t>
      </w:r>
      <w:r w:rsidR="00565A88" w:rsidRPr="00767C38">
        <w:rPr>
          <w:rFonts w:ascii="Arial" w:hAnsi="Arial" w:cs="Arial"/>
          <w:sz w:val="24"/>
          <w:szCs w:val="24"/>
        </w:rPr>
        <w:t>.</w:t>
      </w:r>
      <w:r w:rsidR="00E434DB" w:rsidRPr="00767C38">
        <w:rPr>
          <w:rFonts w:ascii="Arial" w:hAnsi="Arial" w:cs="Arial"/>
          <w:sz w:val="24"/>
          <w:szCs w:val="24"/>
        </w:rPr>
        <w:t xml:space="preserve">  For this reason, we disagree with comments that the traditional 0.1 LOLE is sufficient and urge the Commission to consider the use of a multi-dimensional standard.</w:t>
      </w:r>
    </w:p>
    <w:p w14:paraId="5A3DBB3C" w14:textId="77777777" w:rsidR="00372F44" w:rsidRPr="007E505D" w:rsidRDefault="00372F44" w:rsidP="00D820E3">
      <w:pPr>
        <w:spacing w:line="360" w:lineRule="auto"/>
        <w:rPr>
          <w:rFonts w:ascii="Arial" w:eastAsia="Calibri" w:hAnsi="Arial" w:cs="Arial"/>
          <w:b/>
          <w:bCs/>
          <w:sz w:val="24"/>
          <w:szCs w:val="24"/>
        </w:rPr>
      </w:pPr>
    </w:p>
    <w:p w14:paraId="37604E35" w14:textId="7D933B5E" w:rsidR="00682A83" w:rsidRPr="00767C38" w:rsidRDefault="00682A83" w:rsidP="00565A88">
      <w:pPr>
        <w:pStyle w:val="ListParagraph"/>
        <w:numPr>
          <w:ilvl w:val="0"/>
          <w:numId w:val="9"/>
        </w:numPr>
        <w:spacing w:line="480" w:lineRule="auto"/>
        <w:jc w:val="center"/>
        <w:rPr>
          <w:rFonts w:ascii="Arial" w:eastAsia="Arial" w:hAnsi="Arial" w:cs="Arial"/>
          <w:b/>
          <w:color w:val="000000"/>
          <w:sz w:val="24"/>
          <w:szCs w:val="24"/>
        </w:rPr>
      </w:pPr>
      <w:r w:rsidRPr="00767C38">
        <w:rPr>
          <w:rFonts w:ascii="Arial" w:eastAsia="Arial" w:hAnsi="Arial" w:cs="Arial"/>
          <w:b/>
          <w:sz w:val="24"/>
          <w:szCs w:val="24"/>
        </w:rPr>
        <w:t>CONCLUSION</w:t>
      </w:r>
    </w:p>
    <w:p w14:paraId="04A52AD6" w14:textId="51B5CAD9" w:rsidR="00682A83" w:rsidRPr="00767C38" w:rsidRDefault="00682A83" w:rsidP="00682A83">
      <w:pPr>
        <w:spacing w:line="480" w:lineRule="auto"/>
        <w:ind w:firstLine="720"/>
        <w:rPr>
          <w:rFonts w:ascii="Arial" w:eastAsia="Arial" w:hAnsi="Arial" w:cs="Arial"/>
          <w:sz w:val="24"/>
          <w:szCs w:val="24"/>
        </w:rPr>
      </w:pPr>
      <w:r w:rsidRPr="00767C38">
        <w:rPr>
          <w:rFonts w:ascii="Arial" w:eastAsia="Arial" w:hAnsi="Arial" w:cs="Arial"/>
          <w:sz w:val="24"/>
          <w:szCs w:val="24"/>
        </w:rPr>
        <w:t xml:space="preserve">TSPA and SEIA appreciate the opportunity to provide these </w:t>
      </w:r>
      <w:r w:rsidR="00C11FCD" w:rsidRPr="00767C38">
        <w:rPr>
          <w:rFonts w:ascii="Arial" w:eastAsia="Arial" w:hAnsi="Arial" w:cs="Arial"/>
          <w:sz w:val="24"/>
          <w:szCs w:val="24"/>
        </w:rPr>
        <w:t xml:space="preserve">Reply </w:t>
      </w:r>
      <w:r w:rsidRPr="00767C38">
        <w:rPr>
          <w:rFonts w:ascii="Arial" w:eastAsia="Arial" w:hAnsi="Arial" w:cs="Arial"/>
          <w:sz w:val="24"/>
          <w:szCs w:val="24"/>
        </w:rPr>
        <w:t xml:space="preserve">Comments and look forward to working with the Commission and other interested parties on these issues. </w:t>
      </w:r>
    </w:p>
    <w:p w14:paraId="4F691694" w14:textId="77777777" w:rsidR="00682A83" w:rsidRPr="00767C38" w:rsidRDefault="00682A83" w:rsidP="00682A83">
      <w:pPr>
        <w:spacing w:line="480" w:lineRule="auto"/>
        <w:ind w:firstLine="720"/>
        <w:rPr>
          <w:rFonts w:ascii="Arial" w:eastAsia="Arial" w:hAnsi="Arial" w:cs="Arial"/>
          <w:sz w:val="24"/>
          <w:szCs w:val="24"/>
        </w:rPr>
      </w:pPr>
    </w:p>
    <w:p w14:paraId="0D940682" w14:textId="77777777" w:rsidR="00682A83" w:rsidRPr="00767C38" w:rsidRDefault="00682A83" w:rsidP="00EB1ACB">
      <w:pPr>
        <w:tabs>
          <w:tab w:val="left" w:pos="4320"/>
        </w:tabs>
        <w:rPr>
          <w:rFonts w:ascii="Arial" w:eastAsia="Arial" w:hAnsi="Arial" w:cs="Arial"/>
          <w:sz w:val="24"/>
          <w:szCs w:val="24"/>
        </w:rPr>
      </w:pPr>
      <w:r w:rsidRPr="00767C38">
        <w:rPr>
          <w:rFonts w:ascii="Arial" w:eastAsia="Arial" w:hAnsi="Arial" w:cs="Arial"/>
          <w:sz w:val="24"/>
          <w:szCs w:val="24"/>
        </w:rPr>
        <w:tab/>
        <w:t>Respectfully submitted,</w:t>
      </w:r>
    </w:p>
    <w:p w14:paraId="5C319036" w14:textId="78375DB6" w:rsidR="00EB1ACB" w:rsidRDefault="00EB1ACB" w:rsidP="00EB1ACB">
      <w:pPr>
        <w:tabs>
          <w:tab w:val="left" w:pos="4320"/>
        </w:tabs>
        <w:rPr>
          <w:rFonts w:ascii="Arial" w:eastAsia="Arial" w:hAnsi="Arial" w:cs="Arial"/>
          <w:sz w:val="24"/>
          <w:szCs w:val="24"/>
        </w:rPr>
      </w:pPr>
    </w:p>
    <w:p w14:paraId="788BCDBB" w14:textId="012F6F99" w:rsidR="00EB1ACB" w:rsidRPr="00767C38" w:rsidRDefault="00EB1ACB" w:rsidP="00EB1ACB">
      <w:pPr>
        <w:tabs>
          <w:tab w:val="left" w:pos="4320"/>
        </w:tabs>
        <w:rPr>
          <w:rFonts w:ascii="Arial" w:eastAsia="Arial" w:hAnsi="Arial" w:cs="Arial"/>
          <w:sz w:val="24"/>
          <w:szCs w:val="24"/>
        </w:rPr>
      </w:pPr>
      <w:r>
        <w:rPr>
          <w:rFonts w:ascii="Arial" w:eastAsia="Arial" w:hAnsi="Arial" w:cs="Arial"/>
          <w:sz w:val="24"/>
          <w:szCs w:val="24"/>
        </w:rPr>
        <w:tab/>
      </w:r>
      <w:r>
        <w:rPr>
          <w:rFonts w:ascii="Arial" w:eastAsia="Arial" w:hAnsi="Arial" w:cs="Arial"/>
          <w:noProof/>
          <w:sz w:val="24"/>
          <w:szCs w:val="24"/>
        </w:rPr>
        <w:drawing>
          <wp:inline distT="0" distB="0" distL="0" distR="0" wp14:anchorId="13D8F08A" wp14:editId="343BE7F6">
            <wp:extent cx="2437130" cy="749300"/>
            <wp:effectExtent l="0" t="0" r="1270" b="0"/>
            <wp:docPr id="2" name="Picture 2" descr="Let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etter&#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2071" cy="750819"/>
                    </a:xfrm>
                    <a:prstGeom prst="rect">
                      <a:avLst/>
                    </a:prstGeom>
                  </pic:spPr>
                </pic:pic>
              </a:graphicData>
            </a:graphic>
          </wp:inline>
        </w:drawing>
      </w:r>
    </w:p>
    <w:p w14:paraId="48C73210" w14:textId="5FD4A9A2" w:rsidR="00682A83" w:rsidRPr="00767C38" w:rsidRDefault="00682A83" w:rsidP="00EB1ACB">
      <w:pPr>
        <w:tabs>
          <w:tab w:val="left" w:pos="4320"/>
        </w:tabs>
        <w:rPr>
          <w:rFonts w:ascii="Arial" w:eastAsia="Arial" w:hAnsi="Arial" w:cs="Arial"/>
          <w:sz w:val="24"/>
          <w:szCs w:val="24"/>
        </w:rPr>
      </w:pPr>
      <w:r w:rsidRPr="00767C38">
        <w:rPr>
          <w:rFonts w:ascii="Arial" w:eastAsia="Arial" w:hAnsi="Arial" w:cs="Arial"/>
          <w:sz w:val="24"/>
          <w:szCs w:val="24"/>
        </w:rPr>
        <w:tab/>
        <w:t>_____________________________________</w:t>
      </w:r>
    </w:p>
    <w:p w14:paraId="1CD86EAD" w14:textId="77777777" w:rsidR="00682A83" w:rsidRPr="00767C38" w:rsidRDefault="00682A83" w:rsidP="00EB1ACB">
      <w:pPr>
        <w:tabs>
          <w:tab w:val="left" w:pos="4320"/>
        </w:tabs>
        <w:rPr>
          <w:rFonts w:ascii="Arial" w:eastAsia="Arial" w:hAnsi="Arial" w:cs="Arial"/>
          <w:sz w:val="24"/>
          <w:szCs w:val="24"/>
        </w:rPr>
      </w:pPr>
      <w:r w:rsidRPr="00767C38">
        <w:rPr>
          <w:rFonts w:ascii="Arial" w:eastAsia="Arial" w:hAnsi="Arial" w:cs="Arial"/>
          <w:sz w:val="24"/>
          <w:szCs w:val="24"/>
        </w:rPr>
        <w:tab/>
        <w:t>Tonya Miller</w:t>
      </w:r>
    </w:p>
    <w:p w14:paraId="4F848117" w14:textId="77777777" w:rsidR="007E505D" w:rsidRDefault="00682A83" w:rsidP="00682A83">
      <w:pPr>
        <w:tabs>
          <w:tab w:val="left" w:pos="4320"/>
        </w:tabs>
        <w:spacing w:line="276" w:lineRule="auto"/>
        <w:rPr>
          <w:rFonts w:ascii="Arial" w:eastAsia="Arial" w:hAnsi="Arial" w:cs="Arial"/>
          <w:sz w:val="24"/>
          <w:szCs w:val="24"/>
        </w:rPr>
      </w:pPr>
      <w:r w:rsidRPr="00767C38">
        <w:rPr>
          <w:rFonts w:ascii="Arial" w:eastAsia="Arial" w:hAnsi="Arial" w:cs="Arial"/>
          <w:sz w:val="24"/>
          <w:szCs w:val="24"/>
        </w:rPr>
        <w:tab/>
        <w:t>Executive Director</w:t>
      </w:r>
    </w:p>
    <w:p w14:paraId="361A94AD" w14:textId="06349380" w:rsidR="00682A83" w:rsidRPr="00767C38" w:rsidRDefault="00682A83" w:rsidP="00682A83">
      <w:pPr>
        <w:tabs>
          <w:tab w:val="left" w:pos="4320"/>
        </w:tabs>
        <w:spacing w:line="276" w:lineRule="auto"/>
        <w:rPr>
          <w:rFonts w:ascii="Arial" w:eastAsia="Arial" w:hAnsi="Arial" w:cs="Arial"/>
          <w:sz w:val="24"/>
          <w:szCs w:val="24"/>
        </w:rPr>
      </w:pPr>
      <w:r w:rsidRPr="00767C38">
        <w:rPr>
          <w:rFonts w:ascii="Arial" w:eastAsia="Arial" w:hAnsi="Arial" w:cs="Arial"/>
          <w:sz w:val="24"/>
          <w:szCs w:val="24"/>
        </w:rPr>
        <w:t xml:space="preserve"> </w:t>
      </w:r>
      <w:r w:rsidR="007E505D">
        <w:rPr>
          <w:rFonts w:ascii="Arial" w:eastAsia="Arial" w:hAnsi="Arial" w:cs="Arial"/>
          <w:sz w:val="24"/>
          <w:szCs w:val="24"/>
        </w:rPr>
        <w:tab/>
      </w:r>
      <w:r w:rsidRPr="00767C38">
        <w:rPr>
          <w:rFonts w:ascii="Arial" w:eastAsia="Arial" w:hAnsi="Arial" w:cs="Arial"/>
          <w:sz w:val="24"/>
          <w:szCs w:val="24"/>
        </w:rPr>
        <w:t>Texas Solar Power Association</w:t>
      </w:r>
    </w:p>
    <w:p w14:paraId="34C682AC" w14:textId="77777777" w:rsidR="00682A83" w:rsidRPr="00767C38" w:rsidRDefault="00682A83" w:rsidP="00682A83">
      <w:pPr>
        <w:tabs>
          <w:tab w:val="left" w:pos="4320"/>
        </w:tabs>
        <w:spacing w:line="276" w:lineRule="auto"/>
        <w:rPr>
          <w:rFonts w:ascii="Arial" w:eastAsia="Arial" w:hAnsi="Arial" w:cs="Arial"/>
          <w:sz w:val="24"/>
          <w:szCs w:val="24"/>
        </w:rPr>
      </w:pPr>
      <w:r w:rsidRPr="00767C38">
        <w:rPr>
          <w:rFonts w:ascii="Arial" w:eastAsia="Arial" w:hAnsi="Arial" w:cs="Arial"/>
          <w:sz w:val="24"/>
          <w:szCs w:val="24"/>
        </w:rPr>
        <w:tab/>
      </w:r>
      <w:hyperlink r:id="rId9" w:history="1">
        <w:r w:rsidRPr="00767C38">
          <w:rPr>
            <w:rStyle w:val="Hyperlink"/>
            <w:rFonts w:ascii="Arial" w:eastAsia="Arial" w:hAnsi="Arial" w:cs="Arial"/>
            <w:sz w:val="24"/>
            <w:szCs w:val="24"/>
          </w:rPr>
          <w:t>www.txsolarpower.com</w:t>
        </w:r>
      </w:hyperlink>
    </w:p>
    <w:p w14:paraId="3E8FC173" w14:textId="77777777" w:rsidR="00682A83" w:rsidRPr="00767C38" w:rsidRDefault="00682A83" w:rsidP="00682A83">
      <w:pPr>
        <w:tabs>
          <w:tab w:val="left" w:pos="4320"/>
        </w:tabs>
        <w:spacing w:line="276" w:lineRule="auto"/>
        <w:rPr>
          <w:rFonts w:ascii="Arial" w:eastAsia="Arial" w:hAnsi="Arial" w:cs="Arial"/>
          <w:sz w:val="24"/>
          <w:szCs w:val="24"/>
        </w:rPr>
      </w:pPr>
      <w:r w:rsidRPr="00767C38">
        <w:rPr>
          <w:rFonts w:ascii="Arial" w:eastAsia="Arial" w:hAnsi="Arial" w:cs="Arial"/>
          <w:sz w:val="24"/>
          <w:szCs w:val="24"/>
        </w:rPr>
        <w:tab/>
        <w:t>State Bar No. 24026771</w:t>
      </w:r>
    </w:p>
    <w:p w14:paraId="2BFD1EC3" w14:textId="77777777" w:rsidR="00682A83" w:rsidRPr="00767C38" w:rsidRDefault="00682A83" w:rsidP="00682A83">
      <w:pPr>
        <w:tabs>
          <w:tab w:val="left" w:pos="4320"/>
        </w:tabs>
        <w:spacing w:line="276" w:lineRule="auto"/>
        <w:rPr>
          <w:rFonts w:ascii="Arial" w:eastAsia="Arial" w:hAnsi="Arial" w:cs="Arial"/>
          <w:sz w:val="24"/>
          <w:szCs w:val="24"/>
        </w:rPr>
      </w:pPr>
      <w:r w:rsidRPr="00767C38">
        <w:rPr>
          <w:rFonts w:ascii="Arial" w:eastAsia="Arial" w:hAnsi="Arial" w:cs="Arial"/>
          <w:sz w:val="24"/>
          <w:szCs w:val="24"/>
        </w:rPr>
        <w:tab/>
      </w:r>
      <w:hyperlink r:id="rId10" w:history="1">
        <w:r w:rsidRPr="00767C38">
          <w:rPr>
            <w:rStyle w:val="Hyperlink"/>
            <w:rFonts w:ascii="Arial" w:eastAsia="Arial" w:hAnsi="Arial" w:cs="Arial"/>
            <w:sz w:val="24"/>
            <w:szCs w:val="24"/>
          </w:rPr>
          <w:t>tonya@txsolarpower.org</w:t>
        </w:r>
      </w:hyperlink>
    </w:p>
    <w:p w14:paraId="2891EB58" w14:textId="77777777" w:rsidR="00682A83" w:rsidRPr="00767C38" w:rsidRDefault="00682A83" w:rsidP="00682A83">
      <w:pPr>
        <w:tabs>
          <w:tab w:val="left" w:pos="4320"/>
        </w:tabs>
        <w:spacing w:line="276" w:lineRule="auto"/>
        <w:rPr>
          <w:rFonts w:ascii="Arial" w:eastAsia="Arial" w:hAnsi="Arial" w:cs="Arial"/>
          <w:sz w:val="24"/>
          <w:szCs w:val="24"/>
        </w:rPr>
      </w:pPr>
      <w:r w:rsidRPr="00767C38">
        <w:rPr>
          <w:rFonts w:ascii="Arial" w:eastAsia="Arial" w:hAnsi="Arial" w:cs="Arial"/>
          <w:sz w:val="24"/>
          <w:szCs w:val="24"/>
        </w:rPr>
        <w:tab/>
        <w:t>(512) 560-9735</w:t>
      </w:r>
    </w:p>
    <w:p w14:paraId="00FE53E8" w14:textId="77777777" w:rsidR="00682A83" w:rsidRPr="00767C38" w:rsidRDefault="00682A83" w:rsidP="00682A83">
      <w:pPr>
        <w:tabs>
          <w:tab w:val="left" w:pos="4320"/>
        </w:tabs>
        <w:spacing w:line="276" w:lineRule="auto"/>
        <w:rPr>
          <w:rFonts w:ascii="Arial" w:eastAsia="Arial" w:hAnsi="Arial" w:cs="Arial"/>
          <w:sz w:val="24"/>
          <w:szCs w:val="24"/>
        </w:rPr>
      </w:pPr>
    </w:p>
    <w:p w14:paraId="37E5A2F4" w14:textId="77777777" w:rsidR="00682A83" w:rsidRPr="00767C38" w:rsidRDefault="00682A83" w:rsidP="00682A83">
      <w:pPr>
        <w:tabs>
          <w:tab w:val="left" w:pos="4320"/>
        </w:tabs>
        <w:spacing w:line="276" w:lineRule="auto"/>
        <w:rPr>
          <w:rFonts w:ascii="Arial" w:eastAsia="Arial" w:hAnsi="Arial" w:cs="Arial"/>
          <w:sz w:val="24"/>
          <w:szCs w:val="24"/>
        </w:rPr>
      </w:pPr>
    </w:p>
    <w:p w14:paraId="7FA942E7" w14:textId="77777777" w:rsidR="00682A83" w:rsidRPr="00767C38" w:rsidRDefault="00682A83" w:rsidP="00682A83">
      <w:pPr>
        <w:tabs>
          <w:tab w:val="left" w:pos="4320"/>
        </w:tabs>
        <w:rPr>
          <w:rFonts w:ascii="Arial" w:eastAsia="Arial" w:hAnsi="Arial" w:cs="Arial"/>
          <w:sz w:val="24"/>
          <w:szCs w:val="24"/>
        </w:rPr>
      </w:pPr>
    </w:p>
    <w:p w14:paraId="1B78A28A" w14:textId="277937CA" w:rsidR="00682A83" w:rsidRPr="00767C38" w:rsidRDefault="00682A83" w:rsidP="00682A83">
      <w:pPr>
        <w:tabs>
          <w:tab w:val="left" w:pos="4320"/>
        </w:tabs>
        <w:rPr>
          <w:rFonts w:ascii="Arial" w:eastAsia="Arial" w:hAnsi="Arial" w:cs="Arial"/>
          <w:sz w:val="24"/>
          <w:szCs w:val="24"/>
        </w:rPr>
      </w:pPr>
      <w:r w:rsidRPr="00767C38">
        <w:rPr>
          <w:rFonts w:ascii="Arial" w:eastAsia="Arial" w:hAnsi="Arial" w:cs="Arial"/>
          <w:sz w:val="24"/>
          <w:szCs w:val="24"/>
        </w:rPr>
        <w:tab/>
      </w:r>
      <w:r w:rsidR="00357590">
        <w:rPr>
          <w:noProof/>
        </w:rPr>
        <w:drawing>
          <wp:inline distT="0" distB="0" distL="0" distR="0" wp14:anchorId="705E022B" wp14:editId="618617E4">
            <wp:extent cx="3048000" cy="695325"/>
            <wp:effectExtent l="0" t="0" r="0" b="9525"/>
            <wp:docPr id="1" name="Picture 1" descr="C:\Users\micha_000\AppData\Local\Microsoft\Windows\INetCacheContent.Word\MJJ_signature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micha_000\AppData\Local\Microsoft\Windows\INetCacheContent.Word\MJJ_signature_blue.jpg"/>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695325"/>
                    </a:xfrm>
                    <a:prstGeom prst="rect">
                      <a:avLst/>
                    </a:prstGeom>
                    <a:noFill/>
                    <a:ln>
                      <a:noFill/>
                    </a:ln>
                  </pic:spPr>
                </pic:pic>
              </a:graphicData>
            </a:graphic>
          </wp:inline>
        </w:drawing>
      </w:r>
    </w:p>
    <w:p w14:paraId="7E003D1B" w14:textId="77777777" w:rsidR="00682A83" w:rsidRPr="00767C38" w:rsidRDefault="00682A83" w:rsidP="00682A83">
      <w:pPr>
        <w:ind w:left="4320"/>
        <w:rPr>
          <w:rFonts w:ascii="Arial" w:hAnsi="Arial" w:cs="Arial"/>
          <w:sz w:val="24"/>
          <w:szCs w:val="24"/>
        </w:rPr>
      </w:pPr>
      <w:r w:rsidRPr="00767C38">
        <w:rPr>
          <w:rFonts w:ascii="Arial" w:hAnsi="Arial" w:cs="Arial"/>
          <w:sz w:val="24"/>
          <w:szCs w:val="24"/>
        </w:rPr>
        <w:t>____________________________________</w:t>
      </w:r>
    </w:p>
    <w:p w14:paraId="6A351EC1" w14:textId="77777777" w:rsidR="00682A83" w:rsidRPr="00767C38" w:rsidRDefault="00682A83" w:rsidP="00682A83">
      <w:pPr>
        <w:rPr>
          <w:rFonts w:ascii="Arial" w:hAnsi="Arial" w:cs="Arial"/>
          <w:sz w:val="24"/>
          <w:szCs w:val="24"/>
        </w:rPr>
      </w:pP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t>Michael J. Jewell</w:t>
      </w:r>
    </w:p>
    <w:p w14:paraId="12E9CC53" w14:textId="77777777" w:rsidR="00682A83" w:rsidRPr="00767C38" w:rsidRDefault="00682A83" w:rsidP="00682A83">
      <w:pPr>
        <w:rPr>
          <w:rFonts w:ascii="Arial" w:hAnsi="Arial" w:cs="Arial"/>
          <w:sz w:val="24"/>
          <w:szCs w:val="24"/>
        </w:rPr>
      </w:pP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t>Jewell &amp; Associates, PLLC</w:t>
      </w:r>
    </w:p>
    <w:p w14:paraId="2E504972" w14:textId="77777777" w:rsidR="00682A83" w:rsidRPr="00767C38" w:rsidRDefault="00682A83" w:rsidP="00682A83">
      <w:pPr>
        <w:rPr>
          <w:rFonts w:ascii="Arial" w:hAnsi="Arial" w:cs="Arial"/>
          <w:sz w:val="24"/>
          <w:szCs w:val="24"/>
        </w:rPr>
      </w:pP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t>State Bar No. 10665175</w:t>
      </w:r>
    </w:p>
    <w:p w14:paraId="591E6438" w14:textId="77777777" w:rsidR="00682A83" w:rsidRPr="00767C38" w:rsidRDefault="00682A83" w:rsidP="00682A83">
      <w:pPr>
        <w:rPr>
          <w:rFonts w:ascii="Arial" w:hAnsi="Arial" w:cs="Arial"/>
          <w:sz w:val="24"/>
          <w:szCs w:val="24"/>
        </w:rPr>
      </w:pP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t>8404 Lakewood Ridge Cove</w:t>
      </w:r>
    </w:p>
    <w:p w14:paraId="7DF78EF5" w14:textId="77777777" w:rsidR="00682A83" w:rsidRPr="00767C38" w:rsidRDefault="00682A83" w:rsidP="00682A83">
      <w:pPr>
        <w:rPr>
          <w:rFonts w:ascii="Arial" w:hAnsi="Arial" w:cs="Arial"/>
          <w:sz w:val="24"/>
          <w:szCs w:val="24"/>
        </w:rPr>
      </w:pP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t>Austin, TX 78738</w:t>
      </w:r>
    </w:p>
    <w:p w14:paraId="1D344C4F" w14:textId="77777777" w:rsidR="00682A83" w:rsidRPr="00767C38" w:rsidRDefault="00682A83" w:rsidP="00682A83">
      <w:pPr>
        <w:rPr>
          <w:rFonts w:ascii="Arial" w:hAnsi="Arial" w:cs="Arial"/>
          <w:sz w:val="24"/>
          <w:szCs w:val="24"/>
        </w:rPr>
      </w:pP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t>(512) 423-4065</w:t>
      </w:r>
    </w:p>
    <w:p w14:paraId="7A603D8D" w14:textId="77777777" w:rsidR="00682A83" w:rsidRPr="00767C38" w:rsidRDefault="00682A83" w:rsidP="00682A83">
      <w:pPr>
        <w:rPr>
          <w:rFonts w:ascii="Arial" w:hAnsi="Arial" w:cs="Arial"/>
          <w:sz w:val="24"/>
          <w:szCs w:val="24"/>
        </w:rPr>
      </w:pP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t>(512) 236-5170 (FAX)</w:t>
      </w:r>
    </w:p>
    <w:p w14:paraId="592635AB" w14:textId="77777777" w:rsidR="00682A83" w:rsidRPr="00767C38" w:rsidRDefault="00682A83" w:rsidP="00682A83">
      <w:pPr>
        <w:rPr>
          <w:rFonts w:ascii="Arial" w:hAnsi="Arial" w:cs="Arial"/>
          <w:sz w:val="24"/>
          <w:szCs w:val="24"/>
        </w:rPr>
      </w:pP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hyperlink r:id="rId12" w:history="1">
        <w:r w:rsidRPr="00767C38">
          <w:rPr>
            <w:rFonts w:ascii="Arial" w:hAnsi="Arial" w:cs="Arial"/>
            <w:color w:val="0563C1" w:themeColor="hyperlink"/>
            <w:sz w:val="24"/>
            <w:szCs w:val="24"/>
            <w:u w:val="single"/>
          </w:rPr>
          <w:t>michael@jewellandassociates.com</w:t>
        </w:r>
      </w:hyperlink>
    </w:p>
    <w:p w14:paraId="29E5CD3F" w14:textId="77777777" w:rsidR="00682A83" w:rsidRPr="00767C38" w:rsidRDefault="00682A83" w:rsidP="00682A83">
      <w:pPr>
        <w:rPr>
          <w:rFonts w:ascii="Arial" w:hAnsi="Arial" w:cs="Arial"/>
          <w:sz w:val="24"/>
          <w:szCs w:val="24"/>
        </w:rPr>
      </w:pP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r>
      <w:r w:rsidRPr="00767C38">
        <w:rPr>
          <w:rFonts w:ascii="Arial" w:hAnsi="Arial" w:cs="Arial"/>
          <w:sz w:val="24"/>
          <w:szCs w:val="24"/>
        </w:rPr>
        <w:tab/>
        <w:t>ATTORNEY FOR SOLAR ENERGY</w:t>
      </w:r>
    </w:p>
    <w:p w14:paraId="6FFFA17B" w14:textId="77777777" w:rsidR="00682A83" w:rsidRPr="00767C38" w:rsidRDefault="00682A83" w:rsidP="00682A83">
      <w:pPr>
        <w:ind w:left="4320"/>
        <w:rPr>
          <w:rFonts w:ascii="Arial" w:hAnsi="Arial" w:cs="Arial"/>
          <w:sz w:val="24"/>
          <w:szCs w:val="24"/>
        </w:rPr>
      </w:pPr>
      <w:r w:rsidRPr="00767C38">
        <w:rPr>
          <w:rFonts w:ascii="Arial" w:hAnsi="Arial" w:cs="Arial"/>
          <w:sz w:val="24"/>
          <w:szCs w:val="24"/>
        </w:rPr>
        <w:t>INDUSTRIES ASSOCIATION</w:t>
      </w:r>
    </w:p>
    <w:p w14:paraId="5896C08F" w14:textId="2ED0F106" w:rsidR="00682A83" w:rsidRDefault="00682A83">
      <w:pPr>
        <w:rPr>
          <w:rFonts w:ascii="Arial" w:eastAsia="Times New Roman" w:hAnsi="Arial" w:cs="Arial"/>
          <w:b/>
          <w:color w:val="000000"/>
          <w:sz w:val="24"/>
          <w:szCs w:val="24"/>
        </w:rPr>
      </w:pPr>
    </w:p>
    <w:p w14:paraId="4C4C2B19" w14:textId="77777777" w:rsidR="002F5D54" w:rsidRDefault="002F5D54">
      <w:pPr>
        <w:rPr>
          <w:rFonts w:ascii="Arial" w:eastAsia="Times New Roman" w:hAnsi="Arial" w:cs="Arial"/>
          <w:b/>
          <w:color w:val="000000"/>
          <w:sz w:val="24"/>
          <w:szCs w:val="24"/>
        </w:rPr>
      </w:pPr>
    </w:p>
    <w:p w14:paraId="20CCB977" w14:textId="450EA82B" w:rsidR="00D92990" w:rsidRDefault="00D92990">
      <w:pPr>
        <w:rPr>
          <w:rFonts w:ascii="Arial" w:eastAsia="Times New Roman" w:hAnsi="Arial" w:cs="Arial"/>
          <w:b/>
          <w:color w:val="000000"/>
          <w:sz w:val="24"/>
          <w:szCs w:val="24"/>
        </w:rPr>
      </w:pPr>
      <w:r>
        <w:rPr>
          <w:rFonts w:ascii="Arial" w:eastAsia="Times New Roman" w:hAnsi="Arial" w:cs="Arial"/>
          <w:b/>
          <w:color w:val="000000"/>
          <w:sz w:val="24"/>
          <w:szCs w:val="24"/>
        </w:rPr>
        <w:br w:type="page"/>
      </w:r>
    </w:p>
    <w:p w14:paraId="3801DE7E" w14:textId="77777777" w:rsidR="00980E0F" w:rsidRPr="003F10FB" w:rsidRDefault="00980E0F" w:rsidP="00980E0F">
      <w:pPr>
        <w:spacing w:before="11" w:line="278" w:lineRule="auto"/>
        <w:jc w:val="center"/>
        <w:rPr>
          <w:rFonts w:ascii="Arial" w:eastAsia="Times New Roman" w:hAnsi="Arial" w:cs="Arial"/>
          <w:b/>
          <w:color w:val="000000"/>
          <w:sz w:val="24"/>
          <w:szCs w:val="24"/>
        </w:rPr>
      </w:pPr>
      <w:r w:rsidRPr="003F10FB">
        <w:rPr>
          <w:rFonts w:ascii="Arial" w:eastAsia="Times New Roman" w:hAnsi="Arial" w:cs="Arial"/>
          <w:b/>
          <w:color w:val="000000"/>
          <w:sz w:val="24"/>
          <w:szCs w:val="24"/>
        </w:rPr>
        <w:lastRenderedPageBreak/>
        <w:t>PROJECT NO. 54584</w:t>
      </w:r>
    </w:p>
    <w:p w14:paraId="3AC15FAA" w14:textId="77777777" w:rsidR="00980E0F" w:rsidRPr="003F10FB" w:rsidRDefault="00980E0F" w:rsidP="00980E0F">
      <w:pPr>
        <w:spacing w:before="11" w:line="278" w:lineRule="auto"/>
        <w:jc w:val="center"/>
        <w:rPr>
          <w:rFonts w:ascii="Arial" w:eastAsia="Times New Roman" w:hAnsi="Arial" w:cs="Arial"/>
          <w:b/>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360"/>
        <w:gridCol w:w="4495"/>
      </w:tblGrid>
      <w:tr w:rsidR="00980E0F" w:rsidRPr="003F10FB" w14:paraId="6EF9CBF0" w14:textId="77777777" w:rsidTr="00C32C94">
        <w:tc>
          <w:tcPr>
            <w:tcW w:w="4495" w:type="dxa"/>
          </w:tcPr>
          <w:p w14:paraId="277FD912" w14:textId="77777777" w:rsidR="00980E0F" w:rsidRPr="003F10FB" w:rsidRDefault="00980E0F" w:rsidP="00C32C94">
            <w:pPr>
              <w:spacing w:before="11" w:line="278" w:lineRule="auto"/>
              <w:jc w:val="left"/>
              <w:rPr>
                <w:rFonts w:ascii="Arial" w:hAnsi="Arial" w:cs="Arial"/>
                <w:b/>
                <w:sz w:val="24"/>
                <w:szCs w:val="24"/>
              </w:rPr>
            </w:pPr>
            <w:r w:rsidRPr="003F10FB">
              <w:rPr>
                <w:rFonts w:ascii="Arial" w:hAnsi="Arial" w:cs="Arial"/>
                <w:b/>
                <w:sz w:val="24"/>
                <w:szCs w:val="24"/>
              </w:rPr>
              <w:t>RELIABILITY STANDARD</w:t>
            </w:r>
            <w:r>
              <w:rPr>
                <w:rFonts w:ascii="Arial" w:hAnsi="Arial" w:cs="Arial"/>
                <w:b/>
                <w:sz w:val="24"/>
                <w:szCs w:val="24"/>
              </w:rPr>
              <w:t xml:space="preserve"> FOR</w:t>
            </w:r>
          </w:p>
          <w:p w14:paraId="6EB758FC" w14:textId="77777777" w:rsidR="00980E0F" w:rsidRPr="00FC4EBA" w:rsidRDefault="00980E0F" w:rsidP="00C32C94">
            <w:pPr>
              <w:spacing w:before="11" w:line="278" w:lineRule="auto"/>
              <w:jc w:val="left"/>
              <w:rPr>
                <w:rFonts w:ascii="Arial" w:hAnsi="Arial" w:cs="Arial"/>
                <w:b/>
                <w:sz w:val="24"/>
                <w:szCs w:val="24"/>
              </w:rPr>
            </w:pPr>
            <w:r w:rsidRPr="003F10FB">
              <w:rPr>
                <w:rFonts w:ascii="Arial" w:hAnsi="Arial" w:cs="Arial"/>
                <w:b/>
                <w:sz w:val="24"/>
                <w:szCs w:val="24"/>
              </w:rPr>
              <w:t>THE</w:t>
            </w:r>
            <w:r>
              <w:rPr>
                <w:rFonts w:ascii="Arial" w:hAnsi="Arial" w:cs="Arial"/>
                <w:b/>
                <w:sz w:val="24"/>
                <w:szCs w:val="24"/>
              </w:rPr>
              <w:t xml:space="preserve"> </w:t>
            </w:r>
            <w:r w:rsidRPr="003F10FB">
              <w:rPr>
                <w:rFonts w:ascii="Arial" w:hAnsi="Arial" w:cs="Arial"/>
                <w:b/>
                <w:sz w:val="24"/>
                <w:szCs w:val="24"/>
              </w:rPr>
              <w:t>ERCOT MARKET</w:t>
            </w:r>
          </w:p>
        </w:tc>
        <w:tc>
          <w:tcPr>
            <w:tcW w:w="360" w:type="dxa"/>
          </w:tcPr>
          <w:p w14:paraId="0ADDA666" w14:textId="77777777" w:rsidR="00980E0F" w:rsidRPr="003F10FB" w:rsidRDefault="00980E0F" w:rsidP="00C32C94">
            <w:pPr>
              <w:pBdr>
                <w:top w:val="nil"/>
                <w:left w:val="nil"/>
                <w:bottom w:val="nil"/>
                <w:right w:val="nil"/>
                <w:between w:val="nil"/>
                <w:bar w:val="nil"/>
              </w:pBdr>
              <w:jc w:val="center"/>
              <w:rPr>
                <w:rFonts w:ascii="Arial" w:eastAsia="Avenir Heavy" w:hAnsi="Arial" w:cs="Arial"/>
                <w:b/>
                <w:color w:val="000000"/>
                <w:sz w:val="24"/>
                <w:szCs w:val="24"/>
                <w:u w:color="000000"/>
                <w:bdr w:val="nil"/>
                <w14:textOutline w14:w="0" w14:cap="flat" w14:cmpd="sng" w14:algn="ctr">
                  <w14:noFill/>
                  <w14:prstDash w14:val="solid"/>
                  <w14:bevel/>
                </w14:textOutline>
              </w:rPr>
            </w:pPr>
            <w:r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w:t>
            </w:r>
          </w:p>
          <w:p w14:paraId="74454B6D" w14:textId="77777777" w:rsidR="00980E0F" w:rsidRPr="003F10FB" w:rsidRDefault="00980E0F" w:rsidP="00C32C94">
            <w:pPr>
              <w:pBdr>
                <w:top w:val="nil"/>
                <w:left w:val="nil"/>
                <w:bottom w:val="nil"/>
                <w:right w:val="nil"/>
                <w:between w:val="nil"/>
                <w:bar w:val="nil"/>
              </w:pBdr>
              <w:jc w:val="center"/>
              <w:rPr>
                <w:rFonts w:ascii="Arial" w:eastAsia="Arial Unicode MS" w:hAnsi="Arial" w:cs="Arial"/>
                <w:b/>
                <w:color w:val="000000"/>
                <w:sz w:val="24"/>
                <w:szCs w:val="24"/>
                <w:u w:color="000000"/>
                <w:bdr w:val="nil"/>
                <w14:textOutline w14:w="0" w14:cap="flat" w14:cmpd="sng" w14:algn="ctr">
                  <w14:noFill/>
                  <w14:prstDash w14:val="solid"/>
                  <w14:bevel/>
                </w14:textOutline>
              </w:rPr>
            </w:pPr>
            <w:r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w:t>
            </w:r>
          </w:p>
          <w:p w14:paraId="216B9387" w14:textId="77777777" w:rsidR="00980E0F" w:rsidRPr="003F10FB" w:rsidRDefault="00980E0F" w:rsidP="00C32C94">
            <w:pPr>
              <w:spacing w:before="11" w:line="278" w:lineRule="auto"/>
              <w:jc w:val="center"/>
              <w:rPr>
                <w:rFonts w:ascii="Arial" w:eastAsia="Times New Roman" w:hAnsi="Arial" w:cs="Arial"/>
                <w:b/>
                <w:color w:val="000000"/>
                <w:sz w:val="24"/>
                <w:szCs w:val="24"/>
              </w:rPr>
            </w:pPr>
          </w:p>
        </w:tc>
        <w:tc>
          <w:tcPr>
            <w:tcW w:w="4495" w:type="dxa"/>
          </w:tcPr>
          <w:p w14:paraId="3707707E" w14:textId="77777777" w:rsidR="00980E0F" w:rsidRPr="00FC4EBA" w:rsidRDefault="00980E0F" w:rsidP="00C32C94">
            <w:pPr>
              <w:pBdr>
                <w:top w:val="nil"/>
                <w:left w:val="nil"/>
                <w:bottom w:val="nil"/>
                <w:right w:val="nil"/>
                <w:between w:val="nil"/>
                <w:bar w:val="nil"/>
              </w:pBdr>
              <w:jc w:val="right"/>
              <w:rPr>
                <w:rFonts w:ascii="Arial" w:eastAsia="Arial Unicode MS" w:hAnsi="Arial" w:cs="Arial"/>
                <w:b/>
                <w:color w:val="000000"/>
                <w:sz w:val="24"/>
                <w:szCs w:val="24"/>
                <w:u w:color="000000"/>
                <w:bdr w:val="nil"/>
                <w14:textOutline w14:w="0" w14:cap="flat" w14:cmpd="sng" w14:algn="ctr">
                  <w14:noFill/>
                  <w14:prstDash w14:val="solid"/>
                  <w14:bevel/>
                </w14:textOutline>
              </w:rPr>
            </w:pPr>
            <w:r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PUBLIC UTILITY COMMISSION</w:t>
            </w:r>
          </w:p>
          <w:p w14:paraId="3373726F" w14:textId="77777777" w:rsidR="00980E0F" w:rsidRPr="003F10FB" w:rsidRDefault="00980E0F" w:rsidP="00C32C94">
            <w:pPr>
              <w:spacing w:before="11" w:line="278" w:lineRule="auto"/>
              <w:jc w:val="center"/>
              <w:rPr>
                <w:rFonts w:ascii="Arial" w:eastAsia="Times New Roman" w:hAnsi="Arial" w:cs="Arial"/>
                <w:b/>
                <w:color w:val="000000"/>
                <w:sz w:val="24"/>
                <w:szCs w:val="24"/>
              </w:rPr>
            </w:pPr>
            <w:r>
              <w:rPr>
                <w:rFonts w:ascii="Arial" w:eastAsia="Arial Unicode MS" w:hAnsi="Arial" w:cs="Arial"/>
                <w:b/>
                <w:color w:val="000000"/>
                <w:sz w:val="24"/>
                <w:szCs w:val="24"/>
                <w:u w:color="000000"/>
                <w:bdr w:val="nil"/>
                <w14:textOutline w14:w="0" w14:cap="flat" w14:cmpd="sng" w14:algn="ctr">
                  <w14:noFill/>
                  <w14:prstDash w14:val="solid"/>
                  <w14:bevel/>
                </w14:textOutline>
              </w:rPr>
              <w:t xml:space="preserve">      </w:t>
            </w:r>
            <w:r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OF TEXAS</w:t>
            </w:r>
          </w:p>
        </w:tc>
      </w:tr>
    </w:tbl>
    <w:p w14:paraId="00119833" w14:textId="77777777" w:rsidR="00980E0F" w:rsidRPr="003F10FB" w:rsidRDefault="00980E0F" w:rsidP="00980E0F">
      <w:pPr>
        <w:tabs>
          <w:tab w:val="left" w:pos="7920"/>
        </w:tabs>
        <w:spacing w:line="259" w:lineRule="auto"/>
        <w:jc w:val="center"/>
        <w:rPr>
          <w:rFonts w:ascii="Arial" w:eastAsia="Calibri" w:hAnsi="Arial" w:cs="Arial"/>
          <w:b/>
          <w:sz w:val="24"/>
          <w:szCs w:val="24"/>
        </w:rPr>
      </w:pPr>
    </w:p>
    <w:p w14:paraId="3E08801E" w14:textId="77777777" w:rsidR="00980E0F" w:rsidRPr="003F10FB" w:rsidRDefault="00980E0F" w:rsidP="00980E0F">
      <w:pPr>
        <w:pBdr>
          <w:top w:val="nil"/>
          <w:left w:val="nil"/>
          <w:bottom w:val="nil"/>
          <w:right w:val="nil"/>
          <w:between w:val="nil"/>
        </w:pBdr>
        <w:jc w:val="center"/>
        <w:rPr>
          <w:rFonts w:ascii="Arial" w:eastAsia="Arial" w:hAnsi="Arial" w:cs="Arial"/>
          <w:b/>
          <w:bCs/>
          <w:color w:val="000000"/>
          <w:sz w:val="24"/>
          <w:szCs w:val="24"/>
        </w:rPr>
      </w:pPr>
      <w:r w:rsidRPr="003F10FB">
        <w:rPr>
          <w:rFonts w:ascii="Arial" w:eastAsia="Arial" w:hAnsi="Arial" w:cs="Arial"/>
          <w:b/>
          <w:bCs/>
          <w:color w:val="000000"/>
          <w:sz w:val="24"/>
          <w:szCs w:val="24"/>
        </w:rPr>
        <w:t xml:space="preserve">JOINT </w:t>
      </w:r>
      <w:r>
        <w:rPr>
          <w:rFonts w:ascii="Arial" w:eastAsia="Arial" w:hAnsi="Arial" w:cs="Arial"/>
          <w:b/>
          <w:bCs/>
          <w:color w:val="000000"/>
          <w:sz w:val="24"/>
          <w:szCs w:val="24"/>
        </w:rPr>
        <w:t xml:space="preserve">REPLY </w:t>
      </w:r>
      <w:r w:rsidRPr="003F10FB">
        <w:rPr>
          <w:rFonts w:ascii="Arial" w:eastAsia="Arial" w:hAnsi="Arial" w:cs="Arial"/>
          <w:b/>
          <w:bCs/>
          <w:color w:val="000000"/>
          <w:sz w:val="24"/>
          <w:szCs w:val="24"/>
        </w:rPr>
        <w:t xml:space="preserve">COMMENTS OF TEXAS SOLAR POWER ASSOCIATION AND SOLAR ENERGY INDUSTRIES ASSOCIATION ON STAFF </w:t>
      </w:r>
      <w:r>
        <w:rPr>
          <w:rFonts w:ascii="Arial" w:eastAsia="Arial" w:hAnsi="Arial" w:cs="Arial"/>
          <w:b/>
          <w:bCs/>
          <w:color w:val="000000"/>
          <w:sz w:val="24"/>
          <w:szCs w:val="24"/>
        </w:rPr>
        <w:t>QUESTIONS</w:t>
      </w:r>
    </w:p>
    <w:p w14:paraId="5E56528F" w14:textId="77777777" w:rsidR="002F5D54" w:rsidRDefault="002F5D54">
      <w:pPr>
        <w:rPr>
          <w:rFonts w:ascii="Arial" w:eastAsia="Times New Roman" w:hAnsi="Arial" w:cs="Arial"/>
          <w:b/>
          <w:color w:val="000000"/>
          <w:sz w:val="24"/>
          <w:szCs w:val="24"/>
        </w:rPr>
      </w:pPr>
    </w:p>
    <w:p w14:paraId="1858F720" w14:textId="7461A7A9" w:rsidR="00BA61FA" w:rsidRDefault="00CB3461" w:rsidP="00CB3461">
      <w:pPr>
        <w:jc w:val="center"/>
        <w:rPr>
          <w:rFonts w:ascii="Arial" w:eastAsia="Times New Roman" w:hAnsi="Arial" w:cs="Arial"/>
          <w:b/>
          <w:color w:val="000000"/>
          <w:sz w:val="24"/>
          <w:szCs w:val="24"/>
        </w:rPr>
      </w:pPr>
      <w:r>
        <w:rPr>
          <w:rFonts w:ascii="Arial" w:eastAsia="Times New Roman" w:hAnsi="Arial" w:cs="Arial"/>
          <w:b/>
          <w:color w:val="000000"/>
          <w:sz w:val="24"/>
          <w:szCs w:val="24"/>
        </w:rPr>
        <w:t>EXECUTIVE SUMMARY</w:t>
      </w:r>
    </w:p>
    <w:p w14:paraId="388A3A3A" w14:textId="77777777" w:rsidR="00CB3461" w:rsidRDefault="00CB3461" w:rsidP="00CB3461">
      <w:pPr>
        <w:rPr>
          <w:rFonts w:ascii="Arial" w:eastAsia="Times New Roman" w:hAnsi="Arial" w:cs="Arial"/>
          <w:bCs/>
          <w:color w:val="000000"/>
          <w:sz w:val="24"/>
          <w:szCs w:val="24"/>
        </w:rPr>
      </w:pPr>
    </w:p>
    <w:p w14:paraId="59D01FB9" w14:textId="77777777" w:rsidR="00CB3461" w:rsidRDefault="00CB3461" w:rsidP="00CB3461">
      <w:pPr>
        <w:rPr>
          <w:rFonts w:ascii="Arial" w:eastAsia="Times New Roman" w:hAnsi="Arial" w:cs="Arial"/>
          <w:bCs/>
          <w:color w:val="000000"/>
          <w:sz w:val="24"/>
          <w:szCs w:val="24"/>
        </w:rPr>
      </w:pPr>
    </w:p>
    <w:p w14:paraId="460C3D7D" w14:textId="77777777" w:rsidR="00B10F30" w:rsidRDefault="00B10F30" w:rsidP="00CB3461">
      <w:pPr>
        <w:rPr>
          <w:rFonts w:ascii="Arial" w:eastAsia="Times New Roman" w:hAnsi="Arial" w:cs="Arial"/>
          <w:bCs/>
          <w:color w:val="000000"/>
          <w:sz w:val="24"/>
          <w:szCs w:val="24"/>
        </w:rPr>
      </w:pPr>
    </w:p>
    <w:p w14:paraId="4D649F73" w14:textId="143378E2" w:rsidR="00CB3461" w:rsidRDefault="00B86C33" w:rsidP="00172893">
      <w:pPr>
        <w:pStyle w:val="ListParagraph"/>
        <w:numPr>
          <w:ilvl w:val="0"/>
          <w:numId w:val="10"/>
        </w:numPr>
        <w:rPr>
          <w:rFonts w:ascii="Arial" w:eastAsia="Times New Roman" w:hAnsi="Arial" w:cs="Arial"/>
          <w:bCs/>
          <w:color w:val="000000"/>
          <w:sz w:val="24"/>
          <w:szCs w:val="24"/>
        </w:rPr>
      </w:pPr>
      <w:r>
        <w:rPr>
          <w:rFonts w:ascii="Arial" w:eastAsia="Times New Roman" w:hAnsi="Arial" w:cs="Arial"/>
          <w:bCs/>
          <w:color w:val="000000"/>
          <w:sz w:val="24"/>
          <w:szCs w:val="24"/>
        </w:rPr>
        <w:t>T</w:t>
      </w:r>
      <w:r w:rsidRPr="00B86C33">
        <w:rPr>
          <w:rFonts w:ascii="Arial" w:eastAsia="Times New Roman" w:hAnsi="Arial" w:cs="Arial"/>
          <w:bCs/>
          <w:color w:val="000000"/>
          <w:sz w:val="24"/>
          <w:szCs w:val="24"/>
        </w:rPr>
        <w:t xml:space="preserve">he Commission should </w:t>
      </w:r>
      <w:r>
        <w:rPr>
          <w:rFonts w:ascii="Arial" w:eastAsia="Times New Roman" w:hAnsi="Arial" w:cs="Arial"/>
          <w:bCs/>
          <w:color w:val="000000"/>
          <w:sz w:val="24"/>
          <w:szCs w:val="24"/>
        </w:rPr>
        <w:t xml:space="preserve">not </w:t>
      </w:r>
      <w:r w:rsidR="0026639A">
        <w:rPr>
          <w:rFonts w:ascii="Arial" w:eastAsia="Times New Roman" w:hAnsi="Arial" w:cs="Arial"/>
          <w:bCs/>
          <w:color w:val="000000"/>
          <w:sz w:val="24"/>
          <w:szCs w:val="24"/>
        </w:rPr>
        <w:t>retain</w:t>
      </w:r>
      <w:r w:rsidRPr="00B86C33">
        <w:rPr>
          <w:rFonts w:ascii="Arial" w:eastAsia="Times New Roman" w:hAnsi="Arial" w:cs="Arial"/>
          <w:bCs/>
          <w:color w:val="000000"/>
          <w:sz w:val="24"/>
          <w:szCs w:val="24"/>
        </w:rPr>
        <w:t xml:space="preserve"> the 1-in-10 year </w:t>
      </w:r>
      <w:r w:rsidR="0000213A">
        <w:rPr>
          <w:rFonts w:ascii="Arial" w:eastAsia="Times New Roman" w:hAnsi="Arial" w:cs="Arial"/>
          <w:bCs/>
          <w:color w:val="000000"/>
          <w:sz w:val="24"/>
          <w:szCs w:val="24"/>
        </w:rPr>
        <w:t xml:space="preserve">Loss of Load </w:t>
      </w:r>
      <w:r w:rsidR="00C3046F">
        <w:rPr>
          <w:rFonts w:ascii="Arial" w:eastAsia="Times New Roman" w:hAnsi="Arial" w:cs="Arial"/>
          <w:bCs/>
          <w:color w:val="000000"/>
          <w:sz w:val="24"/>
          <w:szCs w:val="24"/>
        </w:rPr>
        <w:t>Expectation (</w:t>
      </w:r>
      <w:r w:rsidRPr="00B86C33">
        <w:rPr>
          <w:rFonts w:ascii="Arial" w:eastAsia="Times New Roman" w:hAnsi="Arial" w:cs="Arial"/>
          <w:bCs/>
          <w:color w:val="000000"/>
          <w:sz w:val="24"/>
          <w:szCs w:val="24"/>
        </w:rPr>
        <w:t>LOLE</w:t>
      </w:r>
      <w:r w:rsidR="00C3046F">
        <w:rPr>
          <w:rFonts w:ascii="Arial" w:eastAsia="Times New Roman" w:hAnsi="Arial" w:cs="Arial"/>
          <w:bCs/>
          <w:color w:val="000000"/>
          <w:sz w:val="24"/>
          <w:szCs w:val="24"/>
        </w:rPr>
        <w:t>)</w:t>
      </w:r>
      <w:r w:rsidRPr="00B86C33">
        <w:rPr>
          <w:rFonts w:ascii="Arial" w:eastAsia="Times New Roman" w:hAnsi="Arial" w:cs="Arial"/>
          <w:bCs/>
          <w:color w:val="000000"/>
          <w:sz w:val="24"/>
          <w:szCs w:val="24"/>
        </w:rPr>
        <w:t xml:space="preserve"> Standard</w:t>
      </w:r>
      <w:r w:rsidR="0026639A">
        <w:rPr>
          <w:rFonts w:ascii="Arial" w:eastAsia="Times New Roman" w:hAnsi="Arial" w:cs="Arial"/>
          <w:bCs/>
          <w:color w:val="000000"/>
          <w:sz w:val="24"/>
          <w:szCs w:val="24"/>
        </w:rPr>
        <w:t>.</w:t>
      </w:r>
    </w:p>
    <w:p w14:paraId="32E7BCB0" w14:textId="77777777" w:rsidR="00B10F30" w:rsidRDefault="00B10F30" w:rsidP="00B10F30">
      <w:pPr>
        <w:pStyle w:val="ListParagraph"/>
        <w:rPr>
          <w:rFonts w:ascii="Arial" w:eastAsia="Times New Roman" w:hAnsi="Arial" w:cs="Arial"/>
          <w:bCs/>
          <w:color w:val="000000"/>
          <w:sz w:val="24"/>
          <w:szCs w:val="24"/>
        </w:rPr>
      </w:pPr>
    </w:p>
    <w:p w14:paraId="1BB61F71" w14:textId="73874F71" w:rsidR="00B10F30" w:rsidRDefault="00CD3B48" w:rsidP="00172893">
      <w:pPr>
        <w:pStyle w:val="ListParagraph"/>
        <w:numPr>
          <w:ilvl w:val="0"/>
          <w:numId w:val="10"/>
        </w:numPr>
        <w:rPr>
          <w:rFonts w:ascii="Arial" w:eastAsia="Times New Roman" w:hAnsi="Arial" w:cs="Arial"/>
          <w:bCs/>
          <w:color w:val="000000"/>
          <w:sz w:val="24"/>
          <w:szCs w:val="24"/>
        </w:rPr>
      </w:pPr>
      <w:r>
        <w:rPr>
          <w:rFonts w:ascii="Arial" w:eastAsia="Times New Roman" w:hAnsi="Arial" w:cs="Arial"/>
          <w:bCs/>
          <w:color w:val="000000"/>
          <w:sz w:val="24"/>
          <w:szCs w:val="24"/>
        </w:rPr>
        <w:t xml:space="preserve">The 0.1 </w:t>
      </w:r>
      <w:r w:rsidR="00E14493">
        <w:rPr>
          <w:rFonts w:ascii="Arial" w:eastAsia="Times New Roman" w:hAnsi="Arial" w:cs="Arial"/>
          <w:bCs/>
          <w:color w:val="000000"/>
          <w:sz w:val="24"/>
          <w:szCs w:val="24"/>
        </w:rPr>
        <w:t xml:space="preserve">LOLE does not capture the </w:t>
      </w:r>
      <w:r w:rsidR="007A6E1D">
        <w:rPr>
          <w:rFonts w:ascii="Arial" w:eastAsia="Times New Roman" w:hAnsi="Arial" w:cs="Arial"/>
          <w:bCs/>
          <w:color w:val="000000"/>
          <w:sz w:val="24"/>
          <w:szCs w:val="24"/>
        </w:rPr>
        <w:t>significance</w:t>
      </w:r>
      <w:r w:rsidR="00E14493">
        <w:rPr>
          <w:rFonts w:ascii="Arial" w:eastAsia="Times New Roman" w:hAnsi="Arial" w:cs="Arial"/>
          <w:bCs/>
          <w:color w:val="000000"/>
          <w:sz w:val="24"/>
          <w:szCs w:val="24"/>
        </w:rPr>
        <w:t xml:space="preserve"> or duration of a load loss event</w:t>
      </w:r>
      <w:r w:rsidR="00D64DE7">
        <w:rPr>
          <w:rFonts w:ascii="Arial" w:eastAsia="Times New Roman" w:hAnsi="Arial" w:cs="Arial"/>
          <w:bCs/>
          <w:color w:val="000000"/>
          <w:sz w:val="24"/>
          <w:szCs w:val="24"/>
        </w:rPr>
        <w:t>.</w:t>
      </w:r>
    </w:p>
    <w:p w14:paraId="6004315A" w14:textId="77777777" w:rsidR="00392064" w:rsidRPr="00392064" w:rsidRDefault="00392064" w:rsidP="00392064">
      <w:pPr>
        <w:pStyle w:val="ListParagraph"/>
        <w:rPr>
          <w:rFonts w:ascii="Arial" w:eastAsia="Times New Roman" w:hAnsi="Arial" w:cs="Arial"/>
          <w:bCs/>
          <w:color w:val="000000"/>
          <w:sz w:val="24"/>
          <w:szCs w:val="24"/>
        </w:rPr>
      </w:pPr>
    </w:p>
    <w:p w14:paraId="116BFC63" w14:textId="4C029D27" w:rsidR="004C7D49" w:rsidRDefault="00025CFB" w:rsidP="00995D1B">
      <w:pPr>
        <w:pStyle w:val="ListParagraph"/>
        <w:numPr>
          <w:ilvl w:val="0"/>
          <w:numId w:val="10"/>
        </w:numPr>
        <w:rPr>
          <w:rFonts w:ascii="Arial" w:eastAsia="Times New Roman" w:hAnsi="Arial" w:cs="Arial"/>
          <w:bCs/>
          <w:color w:val="000000"/>
          <w:sz w:val="24"/>
          <w:szCs w:val="24"/>
        </w:rPr>
      </w:pPr>
      <w:r w:rsidRPr="00DF2B5F">
        <w:rPr>
          <w:rFonts w:ascii="Arial" w:eastAsia="Times New Roman" w:hAnsi="Arial" w:cs="Arial"/>
          <w:bCs/>
          <w:color w:val="000000"/>
          <w:sz w:val="24"/>
          <w:szCs w:val="24"/>
        </w:rPr>
        <w:t xml:space="preserve">The Commission should evaluate </w:t>
      </w:r>
      <w:r w:rsidR="00392064" w:rsidRPr="00DF2B5F">
        <w:rPr>
          <w:rFonts w:ascii="Arial" w:eastAsia="Times New Roman" w:hAnsi="Arial" w:cs="Arial"/>
          <w:bCs/>
          <w:color w:val="000000"/>
          <w:sz w:val="24"/>
          <w:szCs w:val="24"/>
        </w:rPr>
        <w:t xml:space="preserve">reliability </w:t>
      </w:r>
      <w:r w:rsidRPr="00DF2B5F">
        <w:rPr>
          <w:rFonts w:ascii="Arial" w:eastAsia="Times New Roman" w:hAnsi="Arial" w:cs="Arial"/>
          <w:bCs/>
          <w:color w:val="000000"/>
          <w:sz w:val="24"/>
          <w:szCs w:val="24"/>
        </w:rPr>
        <w:t xml:space="preserve">requirements </w:t>
      </w:r>
      <w:r w:rsidR="00392064" w:rsidRPr="00DF2B5F">
        <w:rPr>
          <w:rFonts w:ascii="Arial" w:eastAsia="Times New Roman" w:hAnsi="Arial" w:cs="Arial"/>
          <w:bCs/>
          <w:color w:val="000000"/>
          <w:sz w:val="24"/>
          <w:szCs w:val="24"/>
        </w:rPr>
        <w:t xml:space="preserve">in </w:t>
      </w:r>
      <w:r w:rsidR="00AB25E9">
        <w:rPr>
          <w:rFonts w:ascii="Arial" w:eastAsia="Times New Roman" w:hAnsi="Arial" w:cs="Arial"/>
          <w:bCs/>
          <w:color w:val="000000"/>
          <w:sz w:val="24"/>
          <w:szCs w:val="24"/>
        </w:rPr>
        <w:t>multiple dimensions</w:t>
      </w:r>
      <w:r w:rsidR="00392064" w:rsidRPr="00DF2B5F">
        <w:rPr>
          <w:rFonts w:ascii="Arial" w:eastAsia="Times New Roman" w:hAnsi="Arial" w:cs="Arial"/>
          <w:bCs/>
          <w:color w:val="000000"/>
          <w:sz w:val="24"/>
          <w:szCs w:val="24"/>
        </w:rPr>
        <w:t xml:space="preserve"> and under different scenarios</w:t>
      </w:r>
      <w:r w:rsidR="00DF2B5F">
        <w:rPr>
          <w:rFonts w:ascii="Arial" w:eastAsia="Times New Roman" w:hAnsi="Arial" w:cs="Arial"/>
          <w:bCs/>
          <w:color w:val="000000"/>
          <w:sz w:val="24"/>
          <w:szCs w:val="24"/>
        </w:rPr>
        <w:t>.</w:t>
      </w:r>
    </w:p>
    <w:p w14:paraId="3D747032" w14:textId="77777777" w:rsidR="00DF2B5F" w:rsidRPr="00DF2B5F" w:rsidRDefault="00DF2B5F" w:rsidP="00DF2B5F">
      <w:pPr>
        <w:rPr>
          <w:rFonts w:ascii="Arial" w:eastAsia="Times New Roman" w:hAnsi="Arial" w:cs="Arial"/>
          <w:bCs/>
          <w:color w:val="000000"/>
          <w:sz w:val="24"/>
          <w:szCs w:val="24"/>
        </w:rPr>
      </w:pPr>
    </w:p>
    <w:p w14:paraId="177C2A35" w14:textId="16A1E2A7" w:rsidR="004C7D49" w:rsidRDefault="004C7D49" w:rsidP="00172893">
      <w:pPr>
        <w:pStyle w:val="ListParagraph"/>
        <w:numPr>
          <w:ilvl w:val="0"/>
          <w:numId w:val="10"/>
        </w:numPr>
        <w:rPr>
          <w:rFonts w:ascii="Arial" w:eastAsia="Times New Roman" w:hAnsi="Arial" w:cs="Arial"/>
          <w:bCs/>
          <w:color w:val="000000"/>
          <w:sz w:val="24"/>
          <w:szCs w:val="24"/>
        </w:rPr>
      </w:pPr>
      <w:r>
        <w:rPr>
          <w:rFonts w:ascii="Arial" w:eastAsia="Times New Roman" w:hAnsi="Arial" w:cs="Arial"/>
          <w:bCs/>
          <w:color w:val="000000"/>
          <w:sz w:val="24"/>
          <w:szCs w:val="24"/>
        </w:rPr>
        <w:t xml:space="preserve">Expected Unserved Energy (EUE) </w:t>
      </w:r>
      <w:r w:rsidR="00F02DAC">
        <w:rPr>
          <w:rFonts w:ascii="Arial" w:eastAsia="Times New Roman" w:hAnsi="Arial" w:cs="Arial"/>
          <w:bCs/>
          <w:color w:val="000000"/>
          <w:sz w:val="24"/>
          <w:szCs w:val="24"/>
        </w:rPr>
        <w:t>considers</w:t>
      </w:r>
      <w:r>
        <w:rPr>
          <w:rFonts w:ascii="Arial" w:eastAsia="Times New Roman" w:hAnsi="Arial" w:cs="Arial"/>
          <w:bCs/>
          <w:color w:val="000000"/>
          <w:sz w:val="24"/>
          <w:szCs w:val="24"/>
        </w:rPr>
        <w:t xml:space="preserve"> the metrics of magnitude, frequency, and duration.</w:t>
      </w:r>
    </w:p>
    <w:p w14:paraId="085C132F" w14:textId="77777777" w:rsidR="008152BC" w:rsidRPr="0096077A" w:rsidRDefault="008152BC" w:rsidP="0096077A">
      <w:pPr>
        <w:rPr>
          <w:rFonts w:ascii="Arial" w:eastAsia="Times New Roman" w:hAnsi="Arial" w:cs="Arial"/>
          <w:bCs/>
          <w:color w:val="000000"/>
          <w:sz w:val="24"/>
          <w:szCs w:val="24"/>
        </w:rPr>
      </w:pPr>
    </w:p>
    <w:p w14:paraId="10939231" w14:textId="262F5AE6" w:rsidR="008152BC" w:rsidRDefault="006267F0" w:rsidP="00172893">
      <w:pPr>
        <w:pStyle w:val="ListParagraph"/>
        <w:numPr>
          <w:ilvl w:val="0"/>
          <w:numId w:val="10"/>
        </w:numPr>
        <w:rPr>
          <w:rFonts w:ascii="Arial" w:eastAsia="Times New Roman" w:hAnsi="Arial" w:cs="Arial"/>
          <w:bCs/>
          <w:color w:val="000000"/>
          <w:sz w:val="24"/>
          <w:szCs w:val="24"/>
        </w:rPr>
      </w:pPr>
      <w:r>
        <w:rPr>
          <w:rFonts w:ascii="Arial" w:eastAsia="Times New Roman" w:hAnsi="Arial" w:cs="Arial"/>
          <w:bCs/>
          <w:color w:val="000000"/>
          <w:sz w:val="24"/>
          <w:szCs w:val="24"/>
        </w:rPr>
        <w:t xml:space="preserve">The Commission should consider </w:t>
      </w:r>
      <w:proofErr w:type="gramStart"/>
      <w:r>
        <w:rPr>
          <w:rFonts w:ascii="Arial" w:eastAsia="Times New Roman" w:hAnsi="Arial" w:cs="Arial"/>
          <w:bCs/>
          <w:color w:val="000000"/>
          <w:sz w:val="24"/>
          <w:szCs w:val="24"/>
        </w:rPr>
        <w:t>use</w:t>
      </w:r>
      <w:proofErr w:type="gramEnd"/>
      <w:r>
        <w:rPr>
          <w:rFonts w:ascii="Arial" w:eastAsia="Times New Roman" w:hAnsi="Arial" w:cs="Arial"/>
          <w:bCs/>
          <w:color w:val="000000"/>
          <w:sz w:val="24"/>
          <w:szCs w:val="24"/>
        </w:rPr>
        <w:t xml:space="preserve"> of</w:t>
      </w:r>
      <w:r w:rsidR="0096077A">
        <w:rPr>
          <w:rFonts w:ascii="Arial" w:eastAsia="Times New Roman" w:hAnsi="Arial" w:cs="Arial"/>
          <w:bCs/>
          <w:color w:val="000000"/>
          <w:sz w:val="24"/>
          <w:szCs w:val="24"/>
        </w:rPr>
        <w:t xml:space="preserve"> </w:t>
      </w:r>
      <w:r w:rsidR="00231C07">
        <w:rPr>
          <w:rFonts w:ascii="Arial" w:eastAsia="Times New Roman" w:hAnsi="Arial" w:cs="Arial"/>
          <w:bCs/>
          <w:color w:val="000000"/>
          <w:sz w:val="24"/>
          <w:szCs w:val="24"/>
        </w:rPr>
        <w:t>Expected Unserved Energy (</w:t>
      </w:r>
      <w:r w:rsidR="008152BC" w:rsidRPr="008152BC">
        <w:rPr>
          <w:rFonts w:ascii="Arial" w:eastAsia="Times New Roman" w:hAnsi="Arial" w:cs="Arial"/>
          <w:bCs/>
          <w:color w:val="000000"/>
          <w:sz w:val="24"/>
          <w:szCs w:val="24"/>
        </w:rPr>
        <w:t>EUE</w:t>
      </w:r>
      <w:r w:rsidR="00231C07">
        <w:rPr>
          <w:rFonts w:ascii="Arial" w:eastAsia="Times New Roman" w:hAnsi="Arial" w:cs="Arial"/>
          <w:bCs/>
          <w:color w:val="000000"/>
          <w:sz w:val="24"/>
          <w:szCs w:val="24"/>
        </w:rPr>
        <w:t>)</w:t>
      </w:r>
      <w:r w:rsidR="008152BC" w:rsidRPr="008152BC">
        <w:rPr>
          <w:rFonts w:ascii="Arial" w:eastAsia="Times New Roman" w:hAnsi="Arial" w:cs="Arial"/>
          <w:bCs/>
          <w:color w:val="000000"/>
          <w:sz w:val="24"/>
          <w:szCs w:val="24"/>
        </w:rPr>
        <w:t xml:space="preserve"> </w:t>
      </w:r>
      <w:r w:rsidR="007C4E7E">
        <w:rPr>
          <w:rFonts w:ascii="Arial" w:eastAsia="Times New Roman" w:hAnsi="Arial" w:cs="Arial"/>
          <w:bCs/>
          <w:color w:val="000000"/>
          <w:sz w:val="24"/>
          <w:szCs w:val="24"/>
        </w:rPr>
        <w:t>(</w:t>
      </w:r>
      <w:r w:rsidR="008152BC" w:rsidRPr="008152BC">
        <w:rPr>
          <w:rFonts w:ascii="Arial" w:eastAsia="Times New Roman" w:hAnsi="Arial" w:cs="Arial"/>
          <w:bCs/>
          <w:color w:val="000000"/>
          <w:sz w:val="24"/>
          <w:szCs w:val="24"/>
        </w:rPr>
        <w:t xml:space="preserve">in conjunction with </w:t>
      </w:r>
      <w:r w:rsidR="0096077A">
        <w:rPr>
          <w:rFonts w:ascii="Arial" w:eastAsia="Times New Roman" w:hAnsi="Arial" w:cs="Arial"/>
          <w:bCs/>
          <w:color w:val="000000"/>
          <w:sz w:val="24"/>
          <w:szCs w:val="24"/>
        </w:rPr>
        <w:t>VOLL</w:t>
      </w:r>
      <w:r w:rsidR="00E9437A">
        <w:rPr>
          <w:rFonts w:ascii="Arial" w:eastAsia="Times New Roman" w:hAnsi="Arial" w:cs="Arial"/>
          <w:bCs/>
          <w:color w:val="000000"/>
          <w:sz w:val="24"/>
          <w:szCs w:val="24"/>
        </w:rPr>
        <w:t>,</w:t>
      </w:r>
      <w:r w:rsidR="0035354E">
        <w:rPr>
          <w:rFonts w:ascii="Arial" w:eastAsia="Times New Roman" w:hAnsi="Arial" w:cs="Arial"/>
          <w:bCs/>
          <w:color w:val="000000"/>
          <w:sz w:val="24"/>
          <w:szCs w:val="24"/>
        </w:rPr>
        <w:t xml:space="preserve"> other standards,</w:t>
      </w:r>
      <w:r w:rsidR="0096077A">
        <w:rPr>
          <w:rFonts w:ascii="Arial" w:eastAsia="Times New Roman" w:hAnsi="Arial" w:cs="Arial"/>
          <w:bCs/>
          <w:color w:val="000000"/>
          <w:sz w:val="24"/>
          <w:szCs w:val="24"/>
        </w:rPr>
        <w:t xml:space="preserve"> and </w:t>
      </w:r>
      <w:r w:rsidR="008152BC" w:rsidRPr="008152BC">
        <w:rPr>
          <w:rFonts w:ascii="Arial" w:eastAsia="Times New Roman" w:hAnsi="Arial" w:cs="Arial"/>
          <w:bCs/>
          <w:color w:val="000000"/>
          <w:sz w:val="24"/>
          <w:szCs w:val="24"/>
        </w:rPr>
        <w:t>an analysis of common mode failures</w:t>
      </w:r>
      <w:r w:rsidR="007C4E7E">
        <w:rPr>
          <w:rFonts w:ascii="Arial" w:eastAsia="Times New Roman" w:hAnsi="Arial" w:cs="Arial"/>
          <w:bCs/>
          <w:color w:val="000000"/>
          <w:sz w:val="24"/>
          <w:szCs w:val="24"/>
        </w:rPr>
        <w:t>)</w:t>
      </w:r>
      <w:r w:rsidR="008152BC" w:rsidRPr="008152BC">
        <w:rPr>
          <w:rFonts w:ascii="Arial" w:eastAsia="Times New Roman" w:hAnsi="Arial" w:cs="Arial"/>
          <w:bCs/>
          <w:color w:val="000000"/>
          <w:sz w:val="24"/>
          <w:szCs w:val="24"/>
        </w:rPr>
        <w:t xml:space="preserve"> </w:t>
      </w:r>
      <w:r>
        <w:rPr>
          <w:rFonts w:ascii="Arial" w:eastAsia="Times New Roman" w:hAnsi="Arial" w:cs="Arial"/>
          <w:bCs/>
          <w:color w:val="000000"/>
          <w:sz w:val="24"/>
          <w:szCs w:val="24"/>
        </w:rPr>
        <w:t xml:space="preserve">to </w:t>
      </w:r>
      <w:r w:rsidR="008152BC" w:rsidRPr="008152BC">
        <w:rPr>
          <w:rFonts w:ascii="Arial" w:eastAsia="Times New Roman" w:hAnsi="Arial" w:cs="Arial"/>
          <w:bCs/>
          <w:color w:val="000000"/>
          <w:sz w:val="24"/>
          <w:szCs w:val="24"/>
        </w:rPr>
        <w:t>appropriately capture the multi-dimensionality necessary in setting a standard</w:t>
      </w:r>
      <w:r w:rsidR="0096077A">
        <w:rPr>
          <w:rFonts w:ascii="Arial" w:eastAsia="Times New Roman" w:hAnsi="Arial" w:cs="Arial"/>
          <w:bCs/>
          <w:color w:val="000000"/>
          <w:sz w:val="24"/>
          <w:szCs w:val="24"/>
        </w:rPr>
        <w:t>.</w:t>
      </w:r>
    </w:p>
    <w:p w14:paraId="4D082E36" w14:textId="77777777" w:rsidR="00FE6864" w:rsidRPr="00FE6864" w:rsidRDefault="00FE6864" w:rsidP="00FE6864">
      <w:pPr>
        <w:rPr>
          <w:rFonts w:ascii="Arial" w:eastAsia="Times New Roman" w:hAnsi="Arial" w:cs="Arial"/>
          <w:bCs/>
          <w:color w:val="000000"/>
          <w:sz w:val="24"/>
          <w:szCs w:val="24"/>
        </w:rPr>
      </w:pPr>
    </w:p>
    <w:p w14:paraId="64408212" w14:textId="7F3E7FB4" w:rsidR="00E14493" w:rsidRPr="00B10F30" w:rsidRDefault="00E14493" w:rsidP="00B10F30">
      <w:pPr>
        <w:rPr>
          <w:rFonts w:ascii="Arial" w:eastAsia="Times New Roman" w:hAnsi="Arial" w:cs="Arial"/>
          <w:bCs/>
          <w:color w:val="000000"/>
          <w:sz w:val="24"/>
          <w:szCs w:val="24"/>
        </w:rPr>
      </w:pPr>
      <w:r w:rsidRPr="00B10F30">
        <w:rPr>
          <w:rFonts w:ascii="Arial" w:eastAsia="Times New Roman" w:hAnsi="Arial" w:cs="Arial"/>
          <w:bCs/>
          <w:color w:val="000000"/>
          <w:sz w:val="24"/>
          <w:szCs w:val="24"/>
        </w:rPr>
        <w:t>.</w:t>
      </w:r>
    </w:p>
    <w:p w14:paraId="1B294031" w14:textId="2C8BB06B" w:rsidR="00BE1CAC" w:rsidRPr="00172893" w:rsidRDefault="00BE1CAC" w:rsidP="00A044B5">
      <w:pPr>
        <w:pStyle w:val="ListParagraph"/>
        <w:rPr>
          <w:rFonts w:ascii="Arial" w:eastAsia="Times New Roman" w:hAnsi="Arial" w:cs="Arial"/>
          <w:bCs/>
          <w:color w:val="000000"/>
          <w:sz w:val="24"/>
          <w:szCs w:val="24"/>
        </w:rPr>
      </w:pPr>
    </w:p>
    <w:sectPr w:rsidR="00BE1CAC" w:rsidRPr="00172893" w:rsidSect="00913D63">
      <w:headerReference w:type="default" r:id="rId13"/>
      <w:footerReference w:type="default" r:id="rId14"/>
      <w:headerReference w:type="first" r:id="rId15"/>
      <w:footerReference w:type="first" r:id="rId16"/>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55BA4" w14:textId="77777777" w:rsidR="00A32A8D" w:rsidRDefault="00A32A8D" w:rsidP="003150CD">
      <w:r>
        <w:separator/>
      </w:r>
    </w:p>
  </w:endnote>
  <w:endnote w:type="continuationSeparator" w:id="0">
    <w:p w14:paraId="2BB8BD1B" w14:textId="77777777" w:rsidR="00A32A8D" w:rsidRDefault="00A32A8D" w:rsidP="003150CD">
      <w:r>
        <w:continuationSeparator/>
      </w:r>
    </w:p>
  </w:endnote>
  <w:endnote w:type="continuationNotice" w:id="1">
    <w:p w14:paraId="27F4207E" w14:textId="77777777" w:rsidR="00A32A8D" w:rsidRDefault="00A32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Heavy">
    <w:charset w:val="4D"/>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8862131"/>
      <w:docPartObj>
        <w:docPartGallery w:val="Page Numbers (Bottom of Page)"/>
        <w:docPartUnique/>
      </w:docPartObj>
    </w:sdtPr>
    <w:sdtEndPr>
      <w:rPr>
        <w:rFonts w:ascii="Times New Roman" w:hAnsi="Times New Roman" w:cs="Times New Roman"/>
        <w:noProof/>
      </w:rPr>
    </w:sdtEndPr>
    <w:sdtContent>
      <w:p w14:paraId="47256A4F" w14:textId="743400BE" w:rsidR="0006002B" w:rsidRPr="004C1379" w:rsidRDefault="0006002B">
        <w:pPr>
          <w:pStyle w:val="Footer"/>
          <w:jc w:val="right"/>
          <w:rPr>
            <w:rFonts w:ascii="Times New Roman" w:hAnsi="Times New Roman" w:cs="Times New Roman"/>
          </w:rPr>
        </w:pPr>
        <w:r w:rsidRPr="004C1379">
          <w:rPr>
            <w:rFonts w:ascii="Times New Roman" w:hAnsi="Times New Roman" w:cs="Times New Roman"/>
          </w:rPr>
          <w:fldChar w:fldCharType="begin"/>
        </w:r>
        <w:r w:rsidRPr="004C1379">
          <w:rPr>
            <w:rFonts w:ascii="Times New Roman" w:hAnsi="Times New Roman" w:cs="Times New Roman"/>
          </w:rPr>
          <w:instrText xml:space="preserve"> PAGE   \* MERGEFORMAT </w:instrText>
        </w:r>
        <w:r w:rsidRPr="004C1379">
          <w:rPr>
            <w:rFonts w:ascii="Times New Roman" w:hAnsi="Times New Roman" w:cs="Times New Roman"/>
          </w:rPr>
          <w:fldChar w:fldCharType="separate"/>
        </w:r>
        <w:r w:rsidRPr="004C1379">
          <w:rPr>
            <w:rFonts w:ascii="Times New Roman" w:hAnsi="Times New Roman" w:cs="Times New Roman"/>
            <w:noProof/>
          </w:rPr>
          <w:t>2</w:t>
        </w:r>
        <w:r w:rsidRPr="004C1379">
          <w:rPr>
            <w:rFonts w:ascii="Times New Roman" w:hAnsi="Times New Roman" w:cs="Times New Roman"/>
            <w:noProof/>
          </w:rPr>
          <w:fldChar w:fldCharType="end"/>
        </w:r>
      </w:p>
    </w:sdtContent>
  </w:sdt>
  <w:p w14:paraId="092065FD" w14:textId="77777777" w:rsidR="003150CD" w:rsidRDefault="003150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DE73" w14:textId="20635445" w:rsidR="00E434DB" w:rsidRDefault="00E434DB">
    <w:pPr>
      <w:pStyle w:val="Footer"/>
      <w:jc w:val="center"/>
    </w:pPr>
  </w:p>
  <w:p w14:paraId="3286F852" w14:textId="04906756" w:rsidR="73711035" w:rsidRDefault="73711035" w:rsidP="73711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2DE99" w14:textId="77777777" w:rsidR="00A32A8D" w:rsidRDefault="00A32A8D" w:rsidP="003150CD">
      <w:r>
        <w:separator/>
      </w:r>
    </w:p>
  </w:footnote>
  <w:footnote w:type="continuationSeparator" w:id="0">
    <w:p w14:paraId="3FF1670B" w14:textId="77777777" w:rsidR="00A32A8D" w:rsidRDefault="00A32A8D" w:rsidP="003150CD">
      <w:r>
        <w:continuationSeparator/>
      </w:r>
    </w:p>
  </w:footnote>
  <w:footnote w:type="continuationNotice" w:id="1">
    <w:p w14:paraId="59E067F1" w14:textId="77777777" w:rsidR="00A32A8D" w:rsidRDefault="00A32A8D"/>
  </w:footnote>
  <w:footnote w:id="2">
    <w:p w14:paraId="344B0073" w14:textId="318FFCA7" w:rsidR="00351B2F" w:rsidRPr="00767C38" w:rsidRDefault="00351B2F">
      <w:pPr>
        <w:pStyle w:val="FootnoteText"/>
        <w:rPr>
          <w:rFonts w:ascii="Arial" w:hAnsi="Arial" w:cs="Arial"/>
        </w:rPr>
      </w:pPr>
      <w:r w:rsidRPr="00767C38">
        <w:rPr>
          <w:rStyle w:val="FootnoteReference"/>
          <w:rFonts w:ascii="Arial" w:hAnsi="Arial" w:cs="Arial"/>
        </w:rPr>
        <w:footnoteRef/>
      </w:r>
      <w:r w:rsidRPr="00767C38">
        <w:rPr>
          <w:rFonts w:ascii="Arial" w:hAnsi="Arial" w:cs="Arial"/>
        </w:rPr>
        <w:t xml:space="preserve"> STEC Comments at 2.</w:t>
      </w:r>
    </w:p>
  </w:footnote>
  <w:footnote w:id="3">
    <w:p w14:paraId="4C1DCB30" w14:textId="7294EC8F" w:rsidR="007E505D" w:rsidRPr="007E505D" w:rsidRDefault="007E505D">
      <w:pPr>
        <w:pStyle w:val="FootnoteText"/>
        <w:rPr>
          <w:rFonts w:ascii="Arial" w:hAnsi="Arial" w:cs="Arial"/>
        </w:rPr>
      </w:pPr>
      <w:r w:rsidRPr="007E505D">
        <w:rPr>
          <w:rStyle w:val="FootnoteReference"/>
          <w:rFonts w:ascii="Arial" w:hAnsi="Arial" w:cs="Arial"/>
        </w:rPr>
        <w:footnoteRef/>
      </w:r>
      <w:r w:rsidRPr="007E505D">
        <w:rPr>
          <w:rFonts w:ascii="Arial" w:hAnsi="Arial" w:cs="Arial"/>
        </w:rPr>
        <w:t xml:space="preserve"> </w:t>
      </w:r>
      <w:r w:rsidRPr="007E505D">
        <w:rPr>
          <w:rFonts w:ascii="Arial" w:hAnsi="Arial" w:cs="Arial"/>
          <w:i/>
          <w:iCs/>
        </w:rPr>
        <w:t>See</w:t>
      </w:r>
      <w:r>
        <w:rPr>
          <w:rFonts w:ascii="Arial" w:hAnsi="Arial" w:cs="Arial"/>
        </w:rPr>
        <w:t xml:space="preserve">, </w:t>
      </w:r>
      <w:r w:rsidRPr="007E505D">
        <w:rPr>
          <w:rFonts w:ascii="Arial" w:hAnsi="Arial" w:cs="Arial"/>
        </w:rPr>
        <w:t xml:space="preserve">CPS Energy at 2-4; Texas Public Power Association at 3; Hunt Energy Network at 2-4; NextEra Energy Resources, LLC at 2; London Economics International at 4; Texas Oil </w:t>
      </w:r>
      <w:r w:rsidR="00235FE0">
        <w:rPr>
          <w:rFonts w:ascii="Arial" w:hAnsi="Arial" w:cs="Arial"/>
        </w:rPr>
        <w:t xml:space="preserve">&amp; </w:t>
      </w:r>
      <w:r w:rsidRPr="007E505D">
        <w:rPr>
          <w:rFonts w:ascii="Arial" w:hAnsi="Arial" w:cs="Arial"/>
        </w:rPr>
        <w:t>Gas Association at 2; Rocky Mountain Institute at 2; L</w:t>
      </w:r>
      <w:r w:rsidR="006D405F">
        <w:rPr>
          <w:rFonts w:ascii="Arial" w:hAnsi="Arial" w:cs="Arial"/>
        </w:rPr>
        <w:t>ower Colorado River Authority</w:t>
      </w:r>
      <w:r w:rsidRPr="007E505D">
        <w:rPr>
          <w:rFonts w:ascii="Arial" w:hAnsi="Arial" w:cs="Arial"/>
        </w:rPr>
        <w:t xml:space="preserve"> at 2-3; NRG Energy at 2-3, Form Energy at 3-4; TIEC at 2; Texas Advanced Energy Business Alliance at 2; </w:t>
      </w:r>
      <w:proofErr w:type="spellStart"/>
      <w:r w:rsidRPr="007E505D">
        <w:rPr>
          <w:rFonts w:ascii="Arial" w:hAnsi="Arial" w:cs="Arial"/>
        </w:rPr>
        <w:t>Vistra</w:t>
      </w:r>
      <w:proofErr w:type="spellEnd"/>
      <w:r w:rsidRPr="007E505D">
        <w:rPr>
          <w:rFonts w:ascii="Arial" w:hAnsi="Arial" w:cs="Arial"/>
        </w:rPr>
        <w:t xml:space="preserve"> at 1-2, OPUC at 4-5; Advanced Power Alliance and American Clean Power Association at 3; and Constellation Energy Generation, LLC at 1-2.</w:t>
      </w:r>
    </w:p>
  </w:footnote>
  <w:footnote w:id="4">
    <w:p w14:paraId="04DFCD2E" w14:textId="2DE41853" w:rsidR="00406D21" w:rsidRPr="00767C38" w:rsidRDefault="00406D21">
      <w:pPr>
        <w:pStyle w:val="FootnoteText"/>
        <w:rPr>
          <w:rFonts w:ascii="Arial" w:hAnsi="Arial" w:cs="Arial"/>
        </w:rPr>
      </w:pPr>
      <w:r w:rsidRPr="00767C38">
        <w:rPr>
          <w:rStyle w:val="FootnoteReference"/>
          <w:rFonts w:ascii="Arial" w:hAnsi="Arial" w:cs="Arial"/>
        </w:rPr>
        <w:footnoteRef/>
      </w:r>
      <w:r w:rsidRPr="00767C38">
        <w:rPr>
          <w:rFonts w:ascii="Arial" w:hAnsi="Arial" w:cs="Arial"/>
        </w:rPr>
        <w:t xml:space="preserve"> HEN at 2-4; Texas Oil </w:t>
      </w:r>
      <w:r w:rsidR="00235FE0">
        <w:rPr>
          <w:rFonts w:ascii="Arial" w:hAnsi="Arial" w:cs="Arial"/>
        </w:rPr>
        <w:t xml:space="preserve">&amp; </w:t>
      </w:r>
      <w:r w:rsidRPr="00767C38">
        <w:rPr>
          <w:rFonts w:ascii="Arial" w:hAnsi="Arial" w:cs="Arial"/>
        </w:rPr>
        <w:t>Gas Association at 2; L</w:t>
      </w:r>
      <w:r w:rsidR="008273B8">
        <w:rPr>
          <w:rFonts w:ascii="Arial" w:hAnsi="Arial" w:cs="Arial"/>
        </w:rPr>
        <w:t>ower Colorado River Authority</w:t>
      </w:r>
      <w:r w:rsidRPr="00767C38">
        <w:rPr>
          <w:rFonts w:ascii="Arial" w:hAnsi="Arial" w:cs="Arial"/>
        </w:rPr>
        <w:t xml:space="preserve"> at 2-3; NRG Energy at 2-3; Form Energy at 3-4; TIE</w:t>
      </w:r>
      <w:r w:rsidR="00A6592F" w:rsidRPr="00767C38">
        <w:rPr>
          <w:rFonts w:ascii="Arial" w:hAnsi="Arial" w:cs="Arial"/>
        </w:rPr>
        <w:t>C</w:t>
      </w:r>
      <w:r w:rsidRPr="00767C38">
        <w:rPr>
          <w:rFonts w:ascii="Arial" w:hAnsi="Arial" w:cs="Arial"/>
        </w:rPr>
        <w:t xml:space="preserve"> at 2; </w:t>
      </w:r>
      <w:r w:rsidR="00A6592F" w:rsidRPr="00767C38">
        <w:rPr>
          <w:rFonts w:ascii="Arial" w:hAnsi="Arial" w:cs="Arial"/>
        </w:rPr>
        <w:t>Texas Advanced Energy Business Alliance at 2; and Constellation Energy at 1-2.</w:t>
      </w:r>
    </w:p>
  </w:footnote>
  <w:footnote w:id="5">
    <w:p w14:paraId="2351313D" w14:textId="4C6D9E61" w:rsidR="00AA33FD" w:rsidRPr="00767C38" w:rsidRDefault="00AA33FD">
      <w:pPr>
        <w:pStyle w:val="FootnoteText"/>
        <w:rPr>
          <w:rFonts w:ascii="Arial" w:hAnsi="Arial" w:cs="Arial"/>
        </w:rPr>
      </w:pPr>
      <w:r w:rsidRPr="00767C38">
        <w:rPr>
          <w:rStyle w:val="FootnoteReference"/>
          <w:rFonts w:ascii="Arial" w:hAnsi="Arial" w:cs="Arial"/>
        </w:rPr>
        <w:footnoteRef/>
      </w:r>
      <w:r w:rsidRPr="00767C38">
        <w:rPr>
          <w:rFonts w:ascii="Arial" w:hAnsi="Arial" w:cs="Arial"/>
        </w:rPr>
        <w:t xml:space="preserve"> HEN Comments at 2.</w:t>
      </w:r>
    </w:p>
  </w:footnote>
  <w:footnote w:id="6">
    <w:p w14:paraId="5F31FE39" w14:textId="1B19CB26" w:rsidR="00AA33FD" w:rsidRPr="00767C38" w:rsidRDefault="00AA33FD">
      <w:pPr>
        <w:pStyle w:val="FootnoteText"/>
        <w:rPr>
          <w:rFonts w:ascii="Arial" w:hAnsi="Arial" w:cs="Arial"/>
        </w:rPr>
      </w:pPr>
      <w:r w:rsidRPr="00767C38">
        <w:rPr>
          <w:rStyle w:val="FootnoteReference"/>
          <w:rFonts w:ascii="Arial" w:hAnsi="Arial" w:cs="Arial"/>
        </w:rPr>
        <w:footnoteRef/>
      </w:r>
      <w:r w:rsidRPr="00767C38">
        <w:rPr>
          <w:rFonts w:ascii="Arial" w:hAnsi="Arial" w:cs="Arial"/>
        </w:rPr>
        <w:t xml:space="preserve"> STEC Comments at </w:t>
      </w:r>
      <w:r w:rsidR="000C34D3" w:rsidRPr="00767C38">
        <w:rPr>
          <w:rFonts w:ascii="Arial" w:hAnsi="Arial" w:cs="Arial"/>
        </w:rPr>
        <w:t>2.</w:t>
      </w:r>
    </w:p>
  </w:footnote>
  <w:footnote w:id="7">
    <w:p w14:paraId="61CFC641" w14:textId="2A200FF7" w:rsidR="00AA33FD" w:rsidRPr="00767C38" w:rsidRDefault="00AA33FD">
      <w:pPr>
        <w:pStyle w:val="FootnoteText"/>
        <w:rPr>
          <w:rFonts w:ascii="Arial" w:hAnsi="Arial" w:cs="Arial"/>
        </w:rPr>
      </w:pPr>
      <w:r w:rsidRPr="00767C38">
        <w:rPr>
          <w:rStyle w:val="FootnoteReference"/>
          <w:rFonts w:ascii="Arial" w:hAnsi="Arial" w:cs="Arial"/>
        </w:rPr>
        <w:footnoteRef/>
      </w:r>
      <w:r w:rsidRPr="00767C38">
        <w:rPr>
          <w:rFonts w:ascii="Arial" w:hAnsi="Arial" w:cs="Arial"/>
        </w:rPr>
        <w:t xml:space="preserve"> STEC Comments at 5.</w:t>
      </w:r>
    </w:p>
  </w:footnote>
  <w:footnote w:id="8">
    <w:p w14:paraId="376FF79B" w14:textId="2FE0D70C" w:rsidR="00DC25D4" w:rsidRPr="00767C38" w:rsidRDefault="00DC25D4">
      <w:pPr>
        <w:pStyle w:val="FootnoteText"/>
        <w:rPr>
          <w:rFonts w:ascii="Arial" w:hAnsi="Arial" w:cs="Arial"/>
        </w:rPr>
      </w:pPr>
      <w:r w:rsidRPr="00767C38">
        <w:rPr>
          <w:rStyle w:val="FootnoteReference"/>
          <w:rFonts w:ascii="Arial" w:hAnsi="Arial" w:cs="Arial"/>
        </w:rPr>
        <w:footnoteRef/>
      </w:r>
      <w:r w:rsidRPr="00767C38">
        <w:rPr>
          <w:rFonts w:ascii="Arial" w:hAnsi="Arial" w:cs="Arial"/>
        </w:rPr>
        <w:t xml:space="preserve"> STEC Comments at 2.</w:t>
      </w:r>
    </w:p>
  </w:footnote>
  <w:footnote w:id="9">
    <w:p w14:paraId="44839AF8" w14:textId="6B0DB8A5" w:rsidR="00DC25D4" w:rsidRPr="00767C38" w:rsidRDefault="00DC25D4">
      <w:pPr>
        <w:pStyle w:val="FootnoteText"/>
        <w:rPr>
          <w:rFonts w:ascii="Arial" w:hAnsi="Arial" w:cs="Arial"/>
        </w:rPr>
      </w:pPr>
      <w:r w:rsidRPr="00767C38">
        <w:rPr>
          <w:rStyle w:val="FootnoteReference"/>
          <w:rFonts w:ascii="Arial" w:hAnsi="Arial" w:cs="Arial"/>
        </w:rPr>
        <w:footnoteRef/>
      </w:r>
      <w:r w:rsidRPr="00767C38">
        <w:rPr>
          <w:rFonts w:ascii="Arial" w:hAnsi="Arial" w:cs="Arial"/>
        </w:rPr>
        <w:t xml:space="preserve"> STEC Comments at 4.</w:t>
      </w:r>
    </w:p>
  </w:footnote>
  <w:footnote w:id="10">
    <w:p w14:paraId="1380AD62" w14:textId="0FF26830" w:rsidR="002A248E" w:rsidRPr="00767C38" w:rsidRDefault="002A248E">
      <w:pPr>
        <w:pStyle w:val="FootnoteText"/>
        <w:rPr>
          <w:rFonts w:ascii="Arial" w:hAnsi="Arial" w:cs="Arial"/>
        </w:rPr>
      </w:pPr>
      <w:r w:rsidRPr="00767C38">
        <w:rPr>
          <w:rStyle w:val="FootnoteReference"/>
          <w:rFonts w:ascii="Arial" w:hAnsi="Arial" w:cs="Arial"/>
        </w:rPr>
        <w:footnoteRef/>
      </w:r>
      <w:r w:rsidRPr="00767C38">
        <w:rPr>
          <w:rFonts w:ascii="Arial" w:hAnsi="Arial" w:cs="Arial"/>
        </w:rPr>
        <w:t xml:space="preserve"> </w:t>
      </w:r>
      <w:r w:rsidR="00CC2D9A" w:rsidRPr="00CC2D9A">
        <w:rPr>
          <w:rFonts w:ascii="Arial" w:hAnsi="Arial" w:cs="Arial"/>
          <w:i/>
          <w:iCs/>
        </w:rPr>
        <w:t>See</w:t>
      </w:r>
      <w:r w:rsidR="00CC2D9A">
        <w:rPr>
          <w:rFonts w:ascii="Arial" w:hAnsi="Arial" w:cs="Arial"/>
        </w:rPr>
        <w:t xml:space="preserve"> e.g., </w:t>
      </w:r>
      <w:r w:rsidRPr="00767C38">
        <w:rPr>
          <w:rFonts w:ascii="Arial" w:hAnsi="Arial" w:cs="Arial"/>
        </w:rPr>
        <w:t>HEN Comments at 2.</w:t>
      </w:r>
    </w:p>
  </w:footnote>
  <w:footnote w:id="11">
    <w:p w14:paraId="540FD8F5" w14:textId="58334A7A" w:rsidR="000855DC" w:rsidRPr="00767C38" w:rsidRDefault="000855DC">
      <w:pPr>
        <w:pStyle w:val="FootnoteText"/>
        <w:rPr>
          <w:rFonts w:ascii="Arial" w:hAnsi="Arial" w:cs="Arial"/>
        </w:rPr>
      </w:pPr>
      <w:r w:rsidRPr="00767C38">
        <w:rPr>
          <w:rStyle w:val="FootnoteReference"/>
          <w:rFonts w:ascii="Arial" w:hAnsi="Arial" w:cs="Arial"/>
        </w:rPr>
        <w:footnoteRef/>
      </w:r>
      <w:r w:rsidRPr="00767C38">
        <w:rPr>
          <w:rFonts w:ascii="Arial" w:hAnsi="Arial" w:cs="Arial"/>
        </w:rPr>
        <w:t xml:space="preserve"> HEN Comments at 2.</w:t>
      </w:r>
    </w:p>
  </w:footnote>
  <w:footnote w:id="12">
    <w:p w14:paraId="40CE21F2" w14:textId="6D19F824" w:rsidR="000855DC" w:rsidRPr="00767C38" w:rsidRDefault="000855DC">
      <w:pPr>
        <w:pStyle w:val="FootnoteText"/>
        <w:rPr>
          <w:rFonts w:ascii="Arial" w:hAnsi="Arial" w:cs="Arial"/>
        </w:rPr>
      </w:pPr>
      <w:r w:rsidRPr="00767C38">
        <w:rPr>
          <w:rStyle w:val="FootnoteReference"/>
          <w:rFonts w:ascii="Arial" w:hAnsi="Arial" w:cs="Arial"/>
        </w:rPr>
        <w:footnoteRef/>
      </w:r>
      <w:r w:rsidRPr="00767C38">
        <w:rPr>
          <w:rFonts w:ascii="Arial" w:hAnsi="Arial" w:cs="Arial"/>
        </w:rPr>
        <w:t xml:space="preserve"> HEN Comments at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3711035" w14:paraId="266D93E7" w14:textId="77777777" w:rsidTr="73711035">
      <w:trPr>
        <w:trHeight w:val="300"/>
      </w:trPr>
      <w:tc>
        <w:tcPr>
          <w:tcW w:w="3120" w:type="dxa"/>
        </w:tcPr>
        <w:p w14:paraId="41BD968E" w14:textId="54022167" w:rsidR="73711035" w:rsidRDefault="73711035" w:rsidP="73711035">
          <w:pPr>
            <w:pStyle w:val="Header"/>
            <w:ind w:left="-115"/>
            <w:jc w:val="left"/>
          </w:pPr>
        </w:p>
      </w:tc>
      <w:tc>
        <w:tcPr>
          <w:tcW w:w="3120" w:type="dxa"/>
        </w:tcPr>
        <w:p w14:paraId="0CEE7B53" w14:textId="0DBC3AE1" w:rsidR="73711035" w:rsidRDefault="73711035" w:rsidP="73711035">
          <w:pPr>
            <w:pStyle w:val="Header"/>
            <w:jc w:val="center"/>
          </w:pPr>
        </w:p>
      </w:tc>
      <w:tc>
        <w:tcPr>
          <w:tcW w:w="3120" w:type="dxa"/>
        </w:tcPr>
        <w:p w14:paraId="55AE70A2" w14:textId="4099B168" w:rsidR="73711035" w:rsidRDefault="73711035" w:rsidP="73711035">
          <w:pPr>
            <w:pStyle w:val="Header"/>
            <w:ind w:right="-115"/>
            <w:jc w:val="right"/>
          </w:pPr>
        </w:p>
      </w:tc>
    </w:tr>
  </w:tbl>
  <w:p w14:paraId="645B3B27" w14:textId="034D7EA1" w:rsidR="73711035" w:rsidRDefault="73711035" w:rsidP="737110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85563" w14:textId="09E25949" w:rsidR="0060760F" w:rsidRDefault="0060760F">
    <w:pPr>
      <w:pStyle w:val="Header"/>
    </w:pPr>
  </w:p>
  <w:p w14:paraId="1E441B5A" w14:textId="45797E53" w:rsidR="0060760F" w:rsidRDefault="0060760F">
    <w:pPr>
      <w:pStyle w:val="Header"/>
    </w:pPr>
  </w:p>
  <w:p w14:paraId="43517507" w14:textId="2EFE053B" w:rsidR="0060760F" w:rsidRDefault="0060760F">
    <w:pPr>
      <w:pStyle w:val="Header"/>
    </w:pPr>
  </w:p>
  <w:p w14:paraId="40C26912" w14:textId="77777777" w:rsidR="0060760F" w:rsidRDefault="006076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596"/>
    <w:multiLevelType w:val="hybridMultilevel"/>
    <w:tmpl w:val="5C3E30C6"/>
    <w:lvl w:ilvl="0" w:tplc="E4BEDD74">
      <w:start w:val="1"/>
      <w:numFmt w:val="upperRoman"/>
      <w:lvlText w:val="%1."/>
      <w:lvlJc w:val="left"/>
      <w:pPr>
        <w:ind w:left="1080" w:hanging="720"/>
      </w:pPr>
      <w:rPr>
        <w:rFonts w:eastAsia="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01E11"/>
    <w:multiLevelType w:val="hybridMultilevel"/>
    <w:tmpl w:val="FE5CDC82"/>
    <w:lvl w:ilvl="0" w:tplc="0638DA9A">
      <w:start w:val="3"/>
      <w:numFmt w:val="upperRoman"/>
      <w:lvlText w:val="%1."/>
      <w:lvlJc w:val="left"/>
      <w:pPr>
        <w:ind w:left="1080" w:hanging="72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657D4"/>
    <w:multiLevelType w:val="multilevel"/>
    <w:tmpl w:val="5F6A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224205"/>
    <w:multiLevelType w:val="hybridMultilevel"/>
    <w:tmpl w:val="128E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16260"/>
    <w:multiLevelType w:val="multilevel"/>
    <w:tmpl w:val="7BA01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07549D"/>
    <w:multiLevelType w:val="multilevel"/>
    <w:tmpl w:val="BBB8F57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40556E"/>
    <w:multiLevelType w:val="hybridMultilevel"/>
    <w:tmpl w:val="61B029CC"/>
    <w:lvl w:ilvl="0" w:tplc="D4E87D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3056BB"/>
    <w:multiLevelType w:val="hybridMultilevel"/>
    <w:tmpl w:val="044C4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DA2E89"/>
    <w:multiLevelType w:val="hybridMultilevel"/>
    <w:tmpl w:val="DFB6DE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1D121ED"/>
    <w:multiLevelType w:val="hybridMultilevel"/>
    <w:tmpl w:val="7CA65510"/>
    <w:lvl w:ilvl="0" w:tplc="B80638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29961102">
    <w:abstractNumId w:val="3"/>
  </w:num>
  <w:num w:numId="2" w16cid:durableId="778257463">
    <w:abstractNumId w:val="4"/>
  </w:num>
  <w:num w:numId="3" w16cid:durableId="22365295">
    <w:abstractNumId w:val="2"/>
  </w:num>
  <w:num w:numId="4" w16cid:durableId="1828813771">
    <w:abstractNumId w:val="9"/>
  </w:num>
  <w:num w:numId="5" w16cid:durableId="1429502456">
    <w:abstractNumId w:val="8"/>
  </w:num>
  <w:num w:numId="6" w16cid:durableId="1279680961">
    <w:abstractNumId w:val="5"/>
  </w:num>
  <w:num w:numId="7" w16cid:durableId="576017586">
    <w:abstractNumId w:val="1"/>
  </w:num>
  <w:num w:numId="8" w16cid:durableId="1881474237">
    <w:abstractNumId w:val="6"/>
  </w:num>
  <w:num w:numId="9" w16cid:durableId="1089276650">
    <w:abstractNumId w:val="0"/>
  </w:num>
  <w:num w:numId="10" w16cid:durableId="2806949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15C"/>
    <w:rsid w:val="0000213A"/>
    <w:rsid w:val="00016947"/>
    <w:rsid w:val="000211C4"/>
    <w:rsid w:val="0002144B"/>
    <w:rsid w:val="00023CB1"/>
    <w:rsid w:val="00025CFB"/>
    <w:rsid w:val="00035025"/>
    <w:rsid w:val="000365B1"/>
    <w:rsid w:val="00037D50"/>
    <w:rsid w:val="00040153"/>
    <w:rsid w:val="000403BE"/>
    <w:rsid w:val="00046DC3"/>
    <w:rsid w:val="00055352"/>
    <w:rsid w:val="00055BBF"/>
    <w:rsid w:val="0006002B"/>
    <w:rsid w:val="0006532C"/>
    <w:rsid w:val="000664E1"/>
    <w:rsid w:val="00072FB1"/>
    <w:rsid w:val="00073259"/>
    <w:rsid w:val="00077E34"/>
    <w:rsid w:val="000839EC"/>
    <w:rsid w:val="000855DC"/>
    <w:rsid w:val="00087BA3"/>
    <w:rsid w:val="0009348B"/>
    <w:rsid w:val="00095ACB"/>
    <w:rsid w:val="000A122B"/>
    <w:rsid w:val="000A7519"/>
    <w:rsid w:val="000B36E8"/>
    <w:rsid w:val="000B5FC9"/>
    <w:rsid w:val="000C34D3"/>
    <w:rsid w:val="000C4091"/>
    <w:rsid w:val="000C4C89"/>
    <w:rsid w:val="000D41AA"/>
    <w:rsid w:val="000D7517"/>
    <w:rsid w:val="000E6108"/>
    <w:rsid w:val="000E6823"/>
    <w:rsid w:val="000F00EA"/>
    <w:rsid w:val="000F17AB"/>
    <w:rsid w:val="000F579B"/>
    <w:rsid w:val="00105569"/>
    <w:rsid w:val="00107B74"/>
    <w:rsid w:val="00110E3F"/>
    <w:rsid w:val="00117391"/>
    <w:rsid w:val="001278E7"/>
    <w:rsid w:val="0013151E"/>
    <w:rsid w:val="0013235B"/>
    <w:rsid w:val="00134492"/>
    <w:rsid w:val="001448B2"/>
    <w:rsid w:val="00151CFE"/>
    <w:rsid w:val="00153FF5"/>
    <w:rsid w:val="0015696C"/>
    <w:rsid w:val="00161531"/>
    <w:rsid w:val="00161C13"/>
    <w:rsid w:val="00172893"/>
    <w:rsid w:val="0017417E"/>
    <w:rsid w:val="0018169E"/>
    <w:rsid w:val="00182FD2"/>
    <w:rsid w:val="001866CF"/>
    <w:rsid w:val="00195523"/>
    <w:rsid w:val="00196966"/>
    <w:rsid w:val="00196EA7"/>
    <w:rsid w:val="001B1E8B"/>
    <w:rsid w:val="001C01D9"/>
    <w:rsid w:val="001D0124"/>
    <w:rsid w:val="001D1966"/>
    <w:rsid w:val="001D33C6"/>
    <w:rsid w:val="001D407D"/>
    <w:rsid w:val="001E7046"/>
    <w:rsid w:val="001F2BCE"/>
    <w:rsid w:val="001F5BFF"/>
    <w:rsid w:val="00200DB0"/>
    <w:rsid w:val="00201DC6"/>
    <w:rsid w:val="0021200C"/>
    <w:rsid w:val="00217181"/>
    <w:rsid w:val="00226E6D"/>
    <w:rsid w:val="00231C07"/>
    <w:rsid w:val="002325D3"/>
    <w:rsid w:val="00235FE0"/>
    <w:rsid w:val="00236586"/>
    <w:rsid w:val="00247F89"/>
    <w:rsid w:val="00254F5B"/>
    <w:rsid w:val="00265CED"/>
    <w:rsid w:val="00265DD6"/>
    <w:rsid w:val="0026639A"/>
    <w:rsid w:val="002677DE"/>
    <w:rsid w:val="00267CE7"/>
    <w:rsid w:val="00270CD9"/>
    <w:rsid w:val="00275706"/>
    <w:rsid w:val="00281634"/>
    <w:rsid w:val="00282510"/>
    <w:rsid w:val="00290526"/>
    <w:rsid w:val="00293D41"/>
    <w:rsid w:val="00295CB5"/>
    <w:rsid w:val="0029603F"/>
    <w:rsid w:val="002A248E"/>
    <w:rsid w:val="002A4B8A"/>
    <w:rsid w:val="002A611C"/>
    <w:rsid w:val="002B2BEB"/>
    <w:rsid w:val="002B44E1"/>
    <w:rsid w:val="002B4830"/>
    <w:rsid w:val="002C5E54"/>
    <w:rsid w:val="002C7FF7"/>
    <w:rsid w:val="002E0F90"/>
    <w:rsid w:val="002E27B1"/>
    <w:rsid w:val="002E414D"/>
    <w:rsid w:val="002E4531"/>
    <w:rsid w:val="002E4587"/>
    <w:rsid w:val="002F3E2F"/>
    <w:rsid w:val="002F4344"/>
    <w:rsid w:val="002F4501"/>
    <w:rsid w:val="002F5D54"/>
    <w:rsid w:val="00303EC8"/>
    <w:rsid w:val="00305CAE"/>
    <w:rsid w:val="003150CD"/>
    <w:rsid w:val="003174CB"/>
    <w:rsid w:val="00320543"/>
    <w:rsid w:val="00322965"/>
    <w:rsid w:val="00331B9C"/>
    <w:rsid w:val="0033390F"/>
    <w:rsid w:val="00334891"/>
    <w:rsid w:val="003427E7"/>
    <w:rsid w:val="00350668"/>
    <w:rsid w:val="003518ED"/>
    <w:rsid w:val="00351B2F"/>
    <w:rsid w:val="0035354E"/>
    <w:rsid w:val="00354F8E"/>
    <w:rsid w:val="00355944"/>
    <w:rsid w:val="00357590"/>
    <w:rsid w:val="003601EE"/>
    <w:rsid w:val="00364B69"/>
    <w:rsid w:val="00372F44"/>
    <w:rsid w:val="0037338D"/>
    <w:rsid w:val="003830A7"/>
    <w:rsid w:val="003837BF"/>
    <w:rsid w:val="00386440"/>
    <w:rsid w:val="0039173E"/>
    <w:rsid w:val="00391D73"/>
    <w:rsid w:val="00392064"/>
    <w:rsid w:val="00395297"/>
    <w:rsid w:val="0039645E"/>
    <w:rsid w:val="003A24C2"/>
    <w:rsid w:val="003A6D60"/>
    <w:rsid w:val="003A768F"/>
    <w:rsid w:val="003B14D5"/>
    <w:rsid w:val="003B3BC9"/>
    <w:rsid w:val="003B6F25"/>
    <w:rsid w:val="003B72DA"/>
    <w:rsid w:val="003C4F0A"/>
    <w:rsid w:val="003D4A83"/>
    <w:rsid w:val="003E0471"/>
    <w:rsid w:val="003E1959"/>
    <w:rsid w:val="003E246B"/>
    <w:rsid w:val="003E54F6"/>
    <w:rsid w:val="003E7459"/>
    <w:rsid w:val="003E7EDB"/>
    <w:rsid w:val="003E7FCE"/>
    <w:rsid w:val="003F10FB"/>
    <w:rsid w:val="003F3CD2"/>
    <w:rsid w:val="003F55A0"/>
    <w:rsid w:val="003F5B7A"/>
    <w:rsid w:val="003F6C9D"/>
    <w:rsid w:val="00406838"/>
    <w:rsid w:val="00406D21"/>
    <w:rsid w:val="004119E4"/>
    <w:rsid w:val="00415D44"/>
    <w:rsid w:val="0041710A"/>
    <w:rsid w:val="00425A62"/>
    <w:rsid w:val="004261FF"/>
    <w:rsid w:val="004331A8"/>
    <w:rsid w:val="00433FC3"/>
    <w:rsid w:val="004441DC"/>
    <w:rsid w:val="00444316"/>
    <w:rsid w:val="00456E24"/>
    <w:rsid w:val="00457E05"/>
    <w:rsid w:val="00464483"/>
    <w:rsid w:val="0046521B"/>
    <w:rsid w:val="00474F6E"/>
    <w:rsid w:val="00484C50"/>
    <w:rsid w:val="004904F7"/>
    <w:rsid w:val="00493737"/>
    <w:rsid w:val="0049438C"/>
    <w:rsid w:val="00496831"/>
    <w:rsid w:val="004A1CB0"/>
    <w:rsid w:val="004A2408"/>
    <w:rsid w:val="004A34BC"/>
    <w:rsid w:val="004A3F5C"/>
    <w:rsid w:val="004B1D6C"/>
    <w:rsid w:val="004C1379"/>
    <w:rsid w:val="004C6B41"/>
    <w:rsid w:val="004C7D49"/>
    <w:rsid w:val="004C7DE0"/>
    <w:rsid w:val="004D1750"/>
    <w:rsid w:val="004D1792"/>
    <w:rsid w:val="004D40F9"/>
    <w:rsid w:val="004E0003"/>
    <w:rsid w:val="004E7893"/>
    <w:rsid w:val="004F570A"/>
    <w:rsid w:val="00503648"/>
    <w:rsid w:val="00504650"/>
    <w:rsid w:val="00504E93"/>
    <w:rsid w:val="00511CC3"/>
    <w:rsid w:val="00521319"/>
    <w:rsid w:val="005224DE"/>
    <w:rsid w:val="00525B32"/>
    <w:rsid w:val="005357D3"/>
    <w:rsid w:val="00542B1B"/>
    <w:rsid w:val="00546498"/>
    <w:rsid w:val="00550985"/>
    <w:rsid w:val="00556854"/>
    <w:rsid w:val="00560041"/>
    <w:rsid w:val="005627F8"/>
    <w:rsid w:val="00565A88"/>
    <w:rsid w:val="00570E9F"/>
    <w:rsid w:val="005718B9"/>
    <w:rsid w:val="00574C16"/>
    <w:rsid w:val="00577CC6"/>
    <w:rsid w:val="00581AE7"/>
    <w:rsid w:val="00584173"/>
    <w:rsid w:val="00585FE1"/>
    <w:rsid w:val="00592F34"/>
    <w:rsid w:val="00595B4D"/>
    <w:rsid w:val="00597B9F"/>
    <w:rsid w:val="005A649A"/>
    <w:rsid w:val="005A6B65"/>
    <w:rsid w:val="005A6B6D"/>
    <w:rsid w:val="005B3898"/>
    <w:rsid w:val="005C048A"/>
    <w:rsid w:val="005C45BC"/>
    <w:rsid w:val="005C62C8"/>
    <w:rsid w:val="005C6D64"/>
    <w:rsid w:val="005D1E69"/>
    <w:rsid w:val="005D4F7E"/>
    <w:rsid w:val="005E51EB"/>
    <w:rsid w:val="005F0E91"/>
    <w:rsid w:val="005F2CCE"/>
    <w:rsid w:val="005F3006"/>
    <w:rsid w:val="005F3384"/>
    <w:rsid w:val="005F5299"/>
    <w:rsid w:val="0060760F"/>
    <w:rsid w:val="0061157F"/>
    <w:rsid w:val="00614CB3"/>
    <w:rsid w:val="00616401"/>
    <w:rsid w:val="00621865"/>
    <w:rsid w:val="006267F0"/>
    <w:rsid w:val="006321BF"/>
    <w:rsid w:val="00635A62"/>
    <w:rsid w:val="0064101E"/>
    <w:rsid w:val="00642F6C"/>
    <w:rsid w:val="006443BA"/>
    <w:rsid w:val="00647FB7"/>
    <w:rsid w:val="00653A5A"/>
    <w:rsid w:val="00656D34"/>
    <w:rsid w:val="0066319B"/>
    <w:rsid w:val="00676976"/>
    <w:rsid w:val="00676E5E"/>
    <w:rsid w:val="006815A2"/>
    <w:rsid w:val="00682A83"/>
    <w:rsid w:val="006903C1"/>
    <w:rsid w:val="00692CF4"/>
    <w:rsid w:val="00693936"/>
    <w:rsid w:val="006A22E4"/>
    <w:rsid w:val="006A2987"/>
    <w:rsid w:val="006A31B7"/>
    <w:rsid w:val="006A7AF9"/>
    <w:rsid w:val="006B1AD3"/>
    <w:rsid w:val="006B34DE"/>
    <w:rsid w:val="006C6A94"/>
    <w:rsid w:val="006C7868"/>
    <w:rsid w:val="006D231C"/>
    <w:rsid w:val="006D405F"/>
    <w:rsid w:val="006D40C3"/>
    <w:rsid w:val="006E1D2B"/>
    <w:rsid w:val="006E3AD5"/>
    <w:rsid w:val="006E4C28"/>
    <w:rsid w:val="006E6385"/>
    <w:rsid w:val="006F2C80"/>
    <w:rsid w:val="006F459B"/>
    <w:rsid w:val="006F5B13"/>
    <w:rsid w:val="007029EB"/>
    <w:rsid w:val="00706D4F"/>
    <w:rsid w:val="007075E8"/>
    <w:rsid w:val="00714A05"/>
    <w:rsid w:val="00717778"/>
    <w:rsid w:val="00717D5D"/>
    <w:rsid w:val="007203AF"/>
    <w:rsid w:val="00721894"/>
    <w:rsid w:val="007220FD"/>
    <w:rsid w:val="00723CB5"/>
    <w:rsid w:val="007269B7"/>
    <w:rsid w:val="00733019"/>
    <w:rsid w:val="0073682B"/>
    <w:rsid w:val="007371A3"/>
    <w:rsid w:val="0073799F"/>
    <w:rsid w:val="0074405F"/>
    <w:rsid w:val="0075310D"/>
    <w:rsid w:val="00757B6F"/>
    <w:rsid w:val="0076294F"/>
    <w:rsid w:val="00766712"/>
    <w:rsid w:val="00767C38"/>
    <w:rsid w:val="007741D4"/>
    <w:rsid w:val="00775EFD"/>
    <w:rsid w:val="00782A8A"/>
    <w:rsid w:val="00794EBE"/>
    <w:rsid w:val="0079546E"/>
    <w:rsid w:val="007959E6"/>
    <w:rsid w:val="0079735C"/>
    <w:rsid w:val="007A24CC"/>
    <w:rsid w:val="007A2A08"/>
    <w:rsid w:val="007A6E1D"/>
    <w:rsid w:val="007B2B1D"/>
    <w:rsid w:val="007B3C57"/>
    <w:rsid w:val="007B3DE4"/>
    <w:rsid w:val="007B687B"/>
    <w:rsid w:val="007C4E7E"/>
    <w:rsid w:val="007C5567"/>
    <w:rsid w:val="007C6444"/>
    <w:rsid w:val="007C7F87"/>
    <w:rsid w:val="007D1F02"/>
    <w:rsid w:val="007D2F79"/>
    <w:rsid w:val="007D3B9A"/>
    <w:rsid w:val="007E26D8"/>
    <w:rsid w:val="007E3C85"/>
    <w:rsid w:val="007E425B"/>
    <w:rsid w:val="007E505D"/>
    <w:rsid w:val="007E688C"/>
    <w:rsid w:val="007E7F91"/>
    <w:rsid w:val="007F6807"/>
    <w:rsid w:val="007F6DFC"/>
    <w:rsid w:val="00801AA8"/>
    <w:rsid w:val="00812CD0"/>
    <w:rsid w:val="00813549"/>
    <w:rsid w:val="008152BC"/>
    <w:rsid w:val="0081565B"/>
    <w:rsid w:val="0082715E"/>
    <w:rsid w:val="008273B8"/>
    <w:rsid w:val="008275F8"/>
    <w:rsid w:val="0083115C"/>
    <w:rsid w:val="00834E80"/>
    <w:rsid w:val="00844EB4"/>
    <w:rsid w:val="00845CED"/>
    <w:rsid w:val="00846891"/>
    <w:rsid w:val="008540F0"/>
    <w:rsid w:val="0085563D"/>
    <w:rsid w:val="00855C15"/>
    <w:rsid w:val="008645FF"/>
    <w:rsid w:val="0087028B"/>
    <w:rsid w:val="0087048F"/>
    <w:rsid w:val="00875F9E"/>
    <w:rsid w:val="00876EAE"/>
    <w:rsid w:val="008801C1"/>
    <w:rsid w:val="00880C62"/>
    <w:rsid w:val="0088518C"/>
    <w:rsid w:val="00892FB5"/>
    <w:rsid w:val="008932AF"/>
    <w:rsid w:val="00894305"/>
    <w:rsid w:val="0089643A"/>
    <w:rsid w:val="008A6041"/>
    <w:rsid w:val="008A6A05"/>
    <w:rsid w:val="008C1B94"/>
    <w:rsid w:val="008C4626"/>
    <w:rsid w:val="008D48D2"/>
    <w:rsid w:val="008D490C"/>
    <w:rsid w:val="008E4DD0"/>
    <w:rsid w:val="008E62DC"/>
    <w:rsid w:val="008E6677"/>
    <w:rsid w:val="008E775E"/>
    <w:rsid w:val="008F4DF6"/>
    <w:rsid w:val="008F665F"/>
    <w:rsid w:val="00900EF4"/>
    <w:rsid w:val="00913D63"/>
    <w:rsid w:val="00916531"/>
    <w:rsid w:val="00932FEB"/>
    <w:rsid w:val="00933216"/>
    <w:rsid w:val="00940043"/>
    <w:rsid w:val="0094321A"/>
    <w:rsid w:val="0094624A"/>
    <w:rsid w:val="00946991"/>
    <w:rsid w:val="00950085"/>
    <w:rsid w:val="0095296F"/>
    <w:rsid w:val="0096077A"/>
    <w:rsid w:val="00960997"/>
    <w:rsid w:val="00962271"/>
    <w:rsid w:val="009710DC"/>
    <w:rsid w:val="009734C1"/>
    <w:rsid w:val="00974508"/>
    <w:rsid w:val="00974EA9"/>
    <w:rsid w:val="00980E0F"/>
    <w:rsid w:val="00991591"/>
    <w:rsid w:val="00996FBE"/>
    <w:rsid w:val="009A12B2"/>
    <w:rsid w:val="009A1974"/>
    <w:rsid w:val="009B449C"/>
    <w:rsid w:val="009C085A"/>
    <w:rsid w:val="009C71E7"/>
    <w:rsid w:val="009C7680"/>
    <w:rsid w:val="009D16C1"/>
    <w:rsid w:val="009D2D32"/>
    <w:rsid w:val="009D2F4D"/>
    <w:rsid w:val="009D4007"/>
    <w:rsid w:val="009D7183"/>
    <w:rsid w:val="009E0E7A"/>
    <w:rsid w:val="009E40FE"/>
    <w:rsid w:val="009E4F89"/>
    <w:rsid w:val="009E528A"/>
    <w:rsid w:val="009E7B21"/>
    <w:rsid w:val="009F3BAD"/>
    <w:rsid w:val="009F501B"/>
    <w:rsid w:val="00A044B5"/>
    <w:rsid w:val="00A12DF6"/>
    <w:rsid w:val="00A15A17"/>
    <w:rsid w:val="00A16A16"/>
    <w:rsid w:val="00A16EC8"/>
    <w:rsid w:val="00A204F7"/>
    <w:rsid w:val="00A23EA9"/>
    <w:rsid w:val="00A3067F"/>
    <w:rsid w:val="00A32167"/>
    <w:rsid w:val="00A32A8D"/>
    <w:rsid w:val="00A339B1"/>
    <w:rsid w:val="00A5690A"/>
    <w:rsid w:val="00A56FB1"/>
    <w:rsid w:val="00A605DC"/>
    <w:rsid w:val="00A6592F"/>
    <w:rsid w:val="00A72ABD"/>
    <w:rsid w:val="00A80E3C"/>
    <w:rsid w:val="00A815C9"/>
    <w:rsid w:val="00A8464F"/>
    <w:rsid w:val="00A8736A"/>
    <w:rsid w:val="00A91820"/>
    <w:rsid w:val="00A94822"/>
    <w:rsid w:val="00A9792E"/>
    <w:rsid w:val="00AA084B"/>
    <w:rsid w:val="00AA1C0C"/>
    <w:rsid w:val="00AA2FA1"/>
    <w:rsid w:val="00AA33FD"/>
    <w:rsid w:val="00AA5E95"/>
    <w:rsid w:val="00AA7268"/>
    <w:rsid w:val="00AB25E9"/>
    <w:rsid w:val="00AB36E7"/>
    <w:rsid w:val="00AB3CC5"/>
    <w:rsid w:val="00AB4D55"/>
    <w:rsid w:val="00AB5590"/>
    <w:rsid w:val="00AC224F"/>
    <w:rsid w:val="00AC2481"/>
    <w:rsid w:val="00AC3678"/>
    <w:rsid w:val="00AC409C"/>
    <w:rsid w:val="00AC632E"/>
    <w:rsid w:val="00AC6719"/>
    <w:rsid w:val="00AE0786"/>
    <w:rsid w:val="00AE13AB"/>
    <w:rsid w:val="00AE171D"/>
    <w:rsid w:val="00AE2516"/>
    <w:rsid w:val="00AE44C1"/>
    <w:rsid w:val="00AE525D"/>
    <w:rsid w:val="00AE7747"/>
    <w:rsid w:val="00AF05F5"/>
    <w:rsid w:val="00AF66B7"/>
    <w:rsid w:val="00B0420B"/>
    <w:rsid w:val="00B10F30"/>
    <w:rsid w:val="00B131B9"/>
    <w:rsid w:val="00B13E95"/>
    <w:rsid w:val="00B16FD7"/>
    <w:rsid w:val="00B2289D"/>
    <w:rsid w:val="00B31383"/>
    <w:rsid w:val="00B33C49"/>
    <w:rsid w:val="00B378B2"/>
    <w:rsid w:val="00B5279E"/>
    <w:rsid w:val="00B551E3"/>
    <w:rsid w:val="00B61B7C"/>
    <w:rsid w:val="00B738CB"/>
    <w:rsid w:val="00B86C33"/>
    <w:rsid w:val="00B9067D"/>
    <w:rsid w:val="00B94DDA"/>
    <w:rsid w:val="00BA1C88"/>
    <w:rsid w:val="00BA3708"/>
    <w:rsid w:val="00BA4D05"/>
    <w:rsid w:val="00BA61FA"/>
    <w:rsid w:val="00BB1CC7"/>
    <w:rsid w:val="00BB1F04"/>
    <w:rsid w:val="00BC3EB9"/>
    <w:rsid w:val="00BC3EBC"/>
    <w:rsid w:val="00BC5DF6"/>
    <w:rsid w:val="00BC7B41"/>
    <w:rsid w:val="00BD3288"/>
    <w:rsid w:val="00BD6A83"/>
    <w:rsid w:val="00BE1CAC"/>
    <w:rsid w:val="00BE5FE2"/>
    <w:rsid w:val="00BE6FF9"/>
    <w:rsid w:val="00BF52AA"/>
    <w:rsid w:val="00BF55C4"/>
    <w:rsid w:val="00C01AD2"/>
    <w:rsid w:val="00C04FCC"/>
    <w:rsid w:val="00C06CB5"/>
    <w:rsid w:val="00C10BA0"/>
    <w:rsid w:val="00C11FCD"/>
    <w:rsid w:val="00C16267"/>
    <w:rsid w:val="00C215CD"/>
    <w:rsid w:val="00C249D9"/>
    <w:rsid w:val="00C3046F"/>
    <w:rsid w:val="00C31F08"/>
    <w:rsid w:val="00C405CA"/>
    <w:rsid w:val="00C434D5"/>
    <w:rsid w:val="00C55015"/>
    <w:rsid w:val="00C67BC3"/>
    <w:rsid w:val="00C7173C"/>
    <w:rsid w:val="00C728F7"/>
    <w:rsid w:val="00C73D1D"/>
    <w:rsid w:val="00C84AFB"/>
    <w:rsid w:val="00C8565E"/>
    <w:rsid w:val="00C90CE9"/>
    <w:rsid w:val="00C92382"/>
    <w:rsid w:val="00C92435"/>
    <w:rsid w:val="00C93F59"/>
    <w:rsid w:val="00CA14B7"/>
    <w:rsid w:val="00CA714C"/>
    <w:rsid w:val="00CB1393"/>
    <w:rsid w:val="00CB3461"/>
    <w:rsid w:val="00CC2D9A"/>
    <w:rsid w:val="00CC72ED"/>
    <w:rsid w:val="00CD1F29"/>
    <w:rsid w:val="00CD3B48"/>
    <w:rsid w:val="00CD45C7"/>
    <w:rsid w:val="00CD65CD"/>
    <w:rsid w:val="00CE6BBC"/>
    <w:rsid w:val="00CE6CB8"/>
    <w:rsid w:val="00CF1729"/>
    <w:rsid w:val="00CF5288"/>
    <w:rsid w:val="00D00B0E"/>
    <w:rsid w:val="00D0609C"/>
    <w:rsid w:val="00D10A8F"/>
    <w:rsid w:val="00D119EA"/>
    <w:rsid w:val="00D17650"/>
    <w:rsid w:val="00D201E9"/>
    <w:rsid w:val="00D20785"/>
    <w:rsid w:val="00D36F2B"/>
    <w:rsid w:val="00D43268"/>
    <w:rsid w:val="00D50F4D"/>
    <w:rsid w:val="00D56C20"/>
    <w:rsid w:val="00D60BEC"/>
    <w:rsid w:val="00D64DE7"/>
    <w:rsid w:val="00D674F8"/>
    <w:rsid w:val="00D74790"/>
    <w:rsid w:val="00D769A6"/>
    <w:rsid w:val="00D820E3"/>
    <w:rsid w:val="00D83676"/>
    <w:rsid w:val="00D91AC1"/>
    <w:rsid w:val="00D92990"/>
    <w:rsid w:val="00D95503"/>
    <w:rsid w:val="00D96DAC"/>
    <w:rsid w:val="00DA6360"/>
    <w:rsid w:val="00DC1F26"/>
    <w:rsid w:val="00DC25D4"/>
    <w:rsid w:val="00DD1F20"/>
    <w:rsid w:val="00DD63FF"/>
    <w:rsid w:val="00DE0464"/>
    <w:rsid w:val="00DE4554"/>
    <w:rsid w:val="00DE56F6"/>
    <w:rsid w:val="00DF2B5F"/>
    <w:rsid w:val="00DF40CE"/>
    <w:rsid w:val="00E0031C"/>
    <w:rsid w:val="00E00DF5"/>
    <w:rsid w:val="00E01F7C"/>
    <w:rsid w:val="00E04378"/>
    <w:rsid w:val="00E04C36"/>
    <w:rsid w:val="00E1114C"/>
    <w:rsid w:val="00E12C37"/>
    <w:rsid w:val="00E14493"/>
    <w:rsid w:val="00E2246E"/>
    <w:rsid w:val="00E324D3"/>
    <w:rsid w:val="00E35928"/>
    <w:rsid w:val="00E368DD"/>
    <w:rsid w:val="00E43006"/>
    <w:rsid w:val="00E434DB"/>
    <w:rsid w:val="00E473AC"/>
    <w:rsid w:val="00E502FE"/>
    <w:rsid w:val="00E51E05"/>
    <w:rsid w:val="00E52399"/>
    <w:rsid w:val="00E52CB3"/>
    <w:rsid w:val="00E7334E"/>
    <w:rsid w:val="00E74113"/>
    <w:rsid w:val="00E80835"/>
    <w:rsid w:val="00E84043"/>
    <w:rsid w:val="00E85E6E"/>
    <w:rsid w:val="00E866B3"/>
    <w:rsid w:val="00E9437A"/>
    <w:rsid w:val="00EA112A"/>
    <w:rsid w:val="00EB16E8"/>
    <w:rsid w:val="00EB1ACB"/>
    <w:rsid w:val="00EB729B"/>
    <w:rsid w:val="00EC4E29"/>
    <w:rsid w:val="00ED05D0"/>
    <w:rsid w:val="00ED6E5C"/>
    <w:rsid w:val="00EE463A"/>
    <w:rsid w:val="00EE4F07"/>
    <w:rsid w:val="00EE7B17"/>
    <w:rsid w:val="00EF585F"/>
    <w:rsid w:val="00EF5B21"/>
    <w:rsid w:val="00F02567"/>
    <w:rsid w:val="00F02DAC"/>
    <w:rsid w:val="00F04A38"/>
    <w:rsid w:val="00F12120"/>
    <w:rsid w:val="00F210BA"/>
    <w:rsid w:val="00F2706D"/>
    <w:rsid w:val="00F313ED"/>
    <w:rsid w:val="00F37D5A"/>
    <w:rsid w:val="00F463B7"/>
    <w:rsid w:val="00F50B8D"/>
    <w:rsid w:val="00F51E0A"/>
    <w:rsid w:val="00F656F2"/>
    <w:rsid w:val="00F67498"/>
    <w:rsid w:val="00F8746C"/>
    <w:rsid w:val="00F92766"/>
    <w:rsid w:val="00F93529"/>
    <w:rsid w:val="00F949EE"/>
    <w:rsid w:val="00F9596E"/>
    <w:rsid w:val="00FA11EC"/>
    <w:rsid w:val="00FA6D93"/>
    <w:rsid w:val="00FA6EED"/>
    <w:rsid w:val="00FA7EF2"/>
    <w:rsid w:val="00FB4620"/>
    <w:rsid w:val="00FB5BA1"/>
    <w:rsid w:val="00FC0303"/>
    <w:rsid w:val="00FC0724"/>
    <w:rsid w:val="00FC4EBA"/>
    <w:rsid w:val="00FC52C5"/>
    <w:rsid w:val="00FC65C8"/>
    <w:rsid w:val="00FD14C9"/>
    <w:rsid w:val="00FD4086"/>
    <w:rsid w:val="00FE0A69"/>
    <w:rsid w:val="00FE286E"/>
    <w:rsid w:val="00FE2AFE"/>
    <w:rsid w:val="00FE6864"/>
    <w:rsid w:val="09BE5731"/>
    <w:rsid w:val="0FECF143"/>
    <w:rsid w:val="43AD6A5F"/>
    <w:rsid w:val="4914DBA5"/>
    <w:rsid w:val="6A8AA7E1"/>
    <w:rsid w:val="729202E0"/>
    <w:rsid w:val="73711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B4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5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83115C"/>
    <w:pPr>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31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50CD"/>
    <w:pPr>
      <w:tabs>
        <w:tab w:val="center" w:pos="4680"/>
        <w:tab w:val="right" w:pos="9360"/>
      </w:tabs>
    </w:pPr>
  </w:style>
  <w:style w:type="character" w:customStyle="1" w:styleId="HeaderChar">
    <w:name w:val="Header Char"/>
    <w:basedOn w:val="DefaultParagraphFont"/>
    <w:link w:val="Header"/>
    <w:uiPriority w:val="99"/>
    <w:rsid w:val="003150CD"/>
  </w:style>
  <w:style w:type="paragraph" w:styleId="Footer">
    <w:name w:val="footer"/>
    <w:basedOn w:val="Normal"/>
    <w:link w:val="FooterChar"/>
    <w:uiPriority w:val="99"/>
    <w:unhideWhenUsed/>
    <w:rsid w:val="003150CD"/>
    <w:pPr>
      <w:tabs>
        <w:tab w:val="center" w:pos="4680"/>
        <w:tab w:val="right" w:pos="9360"/>
      </w:tabs>
    </w:pPr>
  </w:style>
  <w:style w:type="character" w:customStyle="1" w:styleId="FooterChar">
    <w:name w:val="Footer Char"/>
    <w:basedOn w:val="DefaultParagraphFont"/>
    <w:link w:val="Footer"/>
    <w:uiPriority w:val="99"/>
    <w:rsid w:val="003150CD"/>
  </w:style>
  <w:style w:type="paragraph" w:styleId="FootnoteText">
    <w:name w:val="footnote text"/>
    <w:basedOn w:val="Normal"/>
    <w:link w:val="FootnoteTextChar"/>
    <w:uiPriority w:val="99"/>
    <w:semiHidden/>
    <w:unhideWhenUsed/>
    <w:rsid w:val="009C71E7"/>
    <w:rPr>
      <w:sz w:val="20"/>
      <w:szCs w:val="20"/>
    </w:rPr>
  </w:style>
  <w:style w:type="character" w:customStyle="1" w:styleId="FootnoteTextChar">
    <w:name w:val="Footnote Text Char"/>
    <w:basedOn w:val="DefaultParagraphFont"/>
    <w:link w:val="FootnoteText"/>
    <w:uiPriority w:val="99"/>
    <w:semiHidden/>
    <w:rsid w:val="009C71E7"/>
    <w:rPr>
      <w:sz w:val="20"/>
      <w:szCs w:val="20"/>
    </w:rPr>
  </w:style>
  <w:style w:type="character" w:styleId="FootnoteReference">
    <w:name w:val="footnote reference"/>
    <w:basedOn w:val="DefaultParagraphFont"/>
    <w:uiPriority w:val="99"/>
    <w:semiHidden/>
    <w:unhideWhenUsed/>
    <w:rsid w:val="009C71E7"/>
    <w:rPr>
      <w:vertAlign w:val="superscript"/>
    </w:rPr>
  </w:style>
  <w:style w:type="paragraph" w:styleId="Revision">
    <w:name w:val="Revision"/>
    <w:hidden/>
    <w:uiPriority w:val="99"/>
    <w:semiHidden/>
    <w:rsid w:val="0073682B"/>
    <w:pPr>
      <w:jc w:val="left"/>
    </w:pPr>
  </w:style>
  <w:style w:type="paragraph" w:styleId="ListParagraph">
    <w:name w:val="List Paragraph"/>
    <w:basedOn w:val="Normal"/>
    <w:uiPriority w:val="34"/>
    <w:qFormat/>
    <w:rsid w:val="00016947"/>
    <w:pPr>
      <w:ind w:left="720"/>
      <w:contextualSpacing/>
    </w:pPr>
  </w:style>
  <w:style w:type="paragraph" w:styleId="NormalWeb">
    <w:name w:val="Normal (Web)"/>
    <w:basedOn w:val="Normal"/>
    <w:uiPriority w:val="99"/>
    <w:unhideWhenUsed/>
    <w:rsid w:val="00880C62"/>
    <w:pPr>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60760F"/>
    <w:pPr>
      <w:widowControl w:val="0"/>
      <w:autoSpaceDE w:val="0"/>
      <w:autoSpaceDN w:val="0"/>
      <w:jc w:val="left"/>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60760F"/>
    <w:rPr>
      <w:rFonts w:ascii="Times New Roman" w:eastAsia="Times New Roman" w:hAnsi="Times New Roman" w:cs="Times New Roman"/>
      <w:sz w:val="24"/>
      <w:szCs w:val="24"/>
    </w:rPr>
  </w:style>
  <w:style w:type="paragraph" w:customStyle="1" w:styleId="Default">
    <w:name w:val="Default"/>
    <w:rsid w:val="0060760F"/>
    <w:pPr>
      <w:autoSpaceDE w:val="0"/>
      <w:autoSpaceDN w:val="0"/>
      <w:adjustRightInd w:val="0"/>
      <w:jc w:val="left"/>
    </w:pPr>
    <w:rPr>
      <w:rFonts w:ascii="Book Antiqua" w:hAnsi="Book Antiqua" w:cs="Book Antiqua"/>
      <w:color w:val="000000"/>
      <w:sz w:val="24"/>
      <w:szCs w:val="24"/>
    </w:rPr>
  </w:style>
  <w:style w:type="character" w:styleId="Hyperlink">
    <w:name w:val="Hyperlink"/>
    <w:basedOn w:val="DefaultParagraphFont"/>
    <w:uiPriority w:val="99"/>
    <w:unhideWhenUsed/>
    <w:rsid w:val="0018169E"/>
    <w:rPr>
      <w:color w:val="0563C1" w:themeColor="hyperlink"/>
      <w:u w:val="single"/>
    </w:rPr>
  </w:style>
  <w:style w:type="character" w:styleId="FollowedHyperlink">
    <w:name w:val="FollowedHyperlink"/>
    <w:basedOn w:val="DefaultParagraphFont"/>
    <w:uiPriority w:val="99"/>
    <w:semiHidden/>
    <w:unhideWhenUsed/>
    <w:rsid w:val="00D17650"/>
    <w:rPr>
      <w:color w:val="954F72" w:themeColor="followedHyperlink"/>
      <w:u w:val="single"/>
    </w:rPr>
  </w:style>
  <w:style w:type="character" w:styleId="UnresolvedMention">
    <w:name w:val="Unresolved Mention"/>
    <w:basedOn w:val="DefaultParagraphFont"/>
    <w:uiPriority w:val="99"/>
    <w:semiHidden/>
    <w:unhideWhenUsed/>
    <w:rsid w:val="005A6B65"/>
    <w:rPr>
      <w:color w:val="605E5C"/>
      <w:shd w:val="clear" w:color="auto" w:fill="E1DFDD"/>
    </w:rPr>
  </w:style>
  <w:style w:type="character" w:styleId="CommentReference">
    <w:name w:val="annotation reference"/>
    <w:basedOn w:val="DefaultParagraphFont"/>
    <w:uiPriority w:val="99"/>
    <w:semiHidden/>
    <w:unhideWhenUsed/>
    <w:rsid w:val="00C55015"/>
    <w:rPr>
      <w:sz w:val="16"/>
      <w:szCs w:val="16"/>
    </w:rPr>
  </w:style>
  <w:style w:type="paragraph" w:styleId="CommentText">
    <w:name w:val="annotation text"/>
    <w:basedOn w:val="Normal"/>
    <w:link w:val="CommentTextChar"/>
    <w:uiPriority w:val="99"/>
    <w:unhideWhenUsed/>
    <w:rsid w:val="00C55015"/>
    <w:rPr>
      <w:sz w:val="20"/>
      <w:szCs w:val="20"/>
    </w:rPr>
  </w:style>
  <w:style w:type="character" w:customStyle="1" w:styleId="CommentTextChar">
    <w:name w:val="Comment Text Char"/>
    <w:basedOn w:val="DefaultParagraphFont"/>
    <w:link w:val="CommentText"/>
    <w:uiPriority w:val="99"/>
    <w:rsid w:val="00C55015"/>
    <w:rPr>
      <w:sz w:val="20"/>
      <w:szCs w:val="20"/>
    </w:rPr>
  </w:style>
  <w:style w:type="paragraph" w:styleId="CommentSubject">
    <w:name w:val="annotation subject"/>
    <w:basedOn w:val="CommentText"/>
    <w:next w:val="CommentText"/>
    <w:link w:val="CommentSubjectChar"/>
    <w:uiPriority w:val="99"/>
    <w:semiHidden/>
    <w:unhideWhenUsed/>
    <w:rsid w:val="00C55015"/>
    <w:rPr>
      <w:b/>
      <w:bCs/>
    </w:rPr>
  </w:style>
  <w:style w:type="character" w:customStyle="1" w:styleId="CommentSubjectChar">
    <w:name w:val="Comment Subject Char"/>
    <w:basedOn w:val="CommentTextChar"/>
    <w:link w:val="CommentSubject"/>
    <w:uiPriority w:val="99"/>
    <w:semiHidden/>
    <w:rsid w:val="00C5501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2269">
      <w:bodyDiv w:val="1"/>
      <w:marLeft w:val="0"/>
      <w:marRight w:val="0"/>
      <w:marTop w:val="0"/>
      <w:marBottom w:val="0"/>
      <w:divBdr>
        <w:top w:val="none" w:sz="0" w:space="0" w:color="auto"/>
        <w:left w:val="none" w:sz="0" w:space="0" w:color="auto"/>
        <w:bottom w:val="none" w:sz="0" w:space="0" w:color="auto"/>
        <w:right w:val="none" w:sz="0" w:space="0" w:color="auto"/>
      </w:divBdr>
      <w:divsChild>
        <w:div w:id="164512803">
          <w:marLeft w:val="0"/>
          <w:marRight w:val="0"/>
          <w:marTop w:val="0"/>
          <w:marBottom w:val="0"/>
          <w:divBdr>
            <w:top w:val="none" w:sz="0" w:space="0" w:color="auto"/>
            <w:left w:val="none" w:sz="0" w:space="0" w:color="auto"/>
            <w:bottom w:val="none" w:sz="0" w:space="0" w:color="auto"/>
            <w:right w:val="none" w:sz="0" w:space="0" w:color="auto"/>
          </w:divBdr>
          <w:divsChild>
            <w:div w:id="476462611">
              <w:marLeft w:val="0"/>
              <w:marRight w:val="0"/>
              <w:marTop w:val="0"/>
              <w:marBottom w:val="0"/>
              <w:divBdr>
                <w:top w:val="none" w:sz="0" w:space="0" w:color="auto"/>
                <w:left w:val="none" w:sz="0" w:space="0" w:color="auto"/>
                <w:bottom w:val="none" w:sz="0" w:space="0" w:color="auto"/>
                <w:right w:val="none" w:sz="0" w:space="0" w:color="auto"/>
              </w:divBdr>
              <w:divsChild>
                <w:div w:id="16153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673171">
      <w:bodyDiv w:val="1"/>
      <w:marLeft w:val="0"/>
      <w:marRight w:val="0"/>
      <w:marTop w:val="0"/>
      <w:marBottom w:val="0"/>
      <w:divBdr>
        <w:top w:val="none" w:sz="0" w:space="0" w:color="auto"/>
        <w:left w:val="none" w:sz="0" w:space="0" w:color="auto"/>
        <w:bottom w:val="none" w:sz="0" w:space="0" w:color="auto"/>
        <w:right w:val="none" w:sz="0" w:space="0" w:color="auto"/>
      </w:divBdr>
      <w:divsChild>
        <w:div w:id="2075083521">
          <w:marLeft w:val="0"/>
          <w:marRight w:val="0"/>
          <w:marTop w:val="0"/>
          <w:marBottom w:val="0"/>
          <w:divBdr>
            <w:top w:val="none" w:sz="0" w:space="0" w:color="auto"/>
            <w:left w:val="none" w:sz="0" w:space="0" w:color="auto"/>
            <w:bottom w:val="none" w:sz="0" w:space="0" w:color="auto"/>
            <w:right w:val="none" w:sz="0" w:space="0" w:color="auto"/>
          </w:divBdr>
          <w:divsChild>
            <w:div w:id="500631352">
              <w:marLeft w:val="0"/>
              <w:marRight w:val="0"/>
              <w:marTop w:val="0"/>
              <w:marBottom w:val="0"/>
              <w:divBdr>
                <w:top w:val="none" w:sz="0" w:space="0" w:color="auto"/>
                <w:left w:val="none" w:sz="0" w:space="0" w:color="auto"/>
                <w:bottom w:val="none" w:sz="0" w:space="0" w:color="auto"/>
                <w:right w:val="none" w:sz="0" w:space="0" w:color="auto"/>
              </w:divBdr>
              <w:divsChild>
                <w:div w:id="14418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585240">
      <w:bodyDiv w:val="1"/>
      <w:marLeft w:val="0"/>
      <w:marRight w:val="0"/>
      <w:marTop w:val="0"/>
      <w:marBottom w:val="0"/>
      <w:divBdr>
        <w:top w:val="none" w:sz="0" w:space="0" w:color="auto"/>
        <w:left w:val="none" w:sz="0" w:space="0" w:color="auto"/>
        <w:bottom w:val="none" w:sz="0" w:space="0" w:color="auto"/>
        <w:right w:val="none" w:sz="0" w:space="0" w:color="auto"/>
      </w:divBdr>
    </w:div>
    <w:div w:id="1807818326">
      <w:bodyDiv w:val="1"/>
      <w:marLeft w:val="0"/>
      <w:marRight w:val="0"/>
      <w:marTop w:val="0"/>
      <w:marBottom w:val="0"/>
      <w:divBdr>
        <w:top w:val="none" w:sz="0" w:space="0" w:color="auto"/>
        <w:left w:val="none" w:sz="0" w:space="0" w:color="auto"/>
        <w:bottom w:val="none" w:sz="0" w:space="0" w:color="auto"/>
        <w:right w:val="none" w:sz="0" w:space="0" w:color="auto"/>
      </w:divBdr>
    </w:div>
    <w:div w:id="1854756205">
      <w:bodyDiv w:val="1"/>
      <w:marLeft w:val="0"/>
      <w:marRight w:val="0"/>
      <w:marTop w:val="0"/>
      <w:marBottom w:val="0"/>
      <w:divBdr>
        <w:top w:val="none" w:sz="0" w:space="0" w:color="auto"/>
        <w:left w:val="none" w:sz="0" w:space="0" w:color="auto"/>
        <w:bottom w:val="none" w:sz="0" w:space="0" w:color="auto"/>
        <w:right w:val="none" w:sz="0" w:space="0" w:color="auto"/>
      </w:divBdr>
      <w:divsChild>
        <w:div w:id="250823054">
          <w:marLeft w:val="0"/>
          <w:marRight w:val="0"/>
          <w:marTop w:val="0"/>
          <w:marBottom w:val="0"/>
          <w:divBdr>
            <w:top w:val="none" w:sz="0" w:space="0" w:color="auto"/>
            <w:left w:val="none" w:sz="0" w:space="0" w:color="auto"/>
            <w:bottom w:val="none" w:sz="0" w:space="0" w:color="auto"/>
            <w:right w:val="none" w:sz="0" w:space="0" w:color="auto"/>
          </w:divBdr>
          <w:divsChild>
            <w:div w:id="195315197">
              <w:marLeft w:val="0"/>
              <w:marRight w:val="0"/>
              <w:marTop w:val="0"/>
              <w:marBottom w:val="0"/>
              <w:divBdr>
                <w:top w:val="none" w:sz="0" w:space="0" w:color="auto"/>
                <w:left w:val="none" w:sz="0" w:space="0" w:color="auto"/>
                <w:bottom w:val="none" w:sz="0" w:space="0" w:color="auto"/>
                <w:right w:val="none" w:sz="0" w:space="0" w:color="auto"/>
              </w:divBdr>
              <w:divsChild>
                <w:div w:id="15157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89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chael@jewellandassociates.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tonya@txsolarpower.org" TargetMode="External"/><Relationship Id="rId4" Type="http://schemas.openxmlformats.org/officeDocument/2006/relationships/settings" Target="settings.xml"/><Relationship Id="rId9" Type="http://schemas.openxmlformats.org/officeDocument/2006/relationships/hyperlink" Target="http://www.txsolarpower.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B6A35-FFD8-431E-8C24-3979B63A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7710</CharactersWithSpaces>
  <SharedDoc>false</SharedDoc>
  <HLinks>
    <vt:vector size="18" baseType="variant">
      <vt:variant>
        <vt:i4>6881368</vt:i4>
      </vt:variant>
      <vt:variant>
        <vt:i4>6</vt:i4>
      </vt:variant>
      <vt:variant>
        <vt:i4>0</vt:i4>
      </vt:variant>
      <vt:variant>
        <vt:i4>5</vt:i4>
      </vt:variant>
      <vt:variant>
        <vt:lpwstr>mailto:michael@jewellandassociates.com</vt:lpwstr>
      </vt:variant>
      <vt:variant>
        <vt:lpwstr/>
      </vt:variant>
      <vt:variant>
        <vt:i4>5636208</vt:i4>
      </vt:variant>
      <vt:variant>
        <vt:i4>3</vt:i4>
      </vt:variant>
      <vt:variant>
        <vt:i4>0</vt:i4>
      </vt:variant>
      <vt:variant>
        <vt:i4>5</vt:i4>
      </vt:variant>
      <vt:variant>
        <vt:lpwstr>mailto:tonya@txsolarpower.org</vt:lpwstr>
      </vt:variant>
      <vt:variant>
        <vt:lpwstr/>
      </vt:variant>
      <vt:variant>
        <vt:i4>5636189</vt:i4>
      </vt:variant>
      <vt:variant>
        <vt:i4>0</vt:i4>
      </vt:variant>
      <vt:variant>
        <vt:i4>0</vt:i4>
      </vt:variant>
      <vt:variant>
        <vt:i4>5</vt:i4>
      </vt:variant>
      <vt:variant>
        <vt:lpwstr>http://www.txsolarpower.com/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2023-04-05T19:00:00Z</dcterms:created>
  <dcterms:modified xsi:type="dcterms:W3CDTF">2023-04-05T19:01:00Z</dcterms:modified>
</cp:coreProperties>
</file>